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AC" w:rsidRDefault="008455AC" w:rsidP="008455A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bidi/>
        <w:spacing w:before="300" w:beforeAutospacing="0" w:after="300" w:afterAutospacing="0"/>
        <w:jc w:val="center"/>
        <w:divId w:val="475496264"/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</w:pPr>
    </w:p>
    <w:p w:rsidR="008455AC" w:rsidRDefault="008455AC" w:rsidP="008455A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bidi/>
        <w:spacing w:before="300" w:beforeAutospacing="0" w:after="300" w:afterAutospacing="0"/>
        <w:jc w:val="center"/>
        <w:divId w:val="475496264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محاضرة القانون التجاري</w:t>
      </w:r>
    </w:p>
    <w:p w:rsidR="00136701" w:rsidRPr="008455AC" w:rsidRDefault="00136701" w:rsidP="008455A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bidi/>
        <w:spacing w:before="300" w:beforeAutospacing="0" w:after="300" w:afterAutospacing="0"/>
        <w:jc w:val="both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هو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فرع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فروع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يتعامل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بشكل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خاص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والأنشطة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يهدف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تنظيم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العلاقات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بين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الأطراف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المشاركة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وضمان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سير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الأعمال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بشكل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نموذجي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وعادل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.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يشمل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المفهوم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العديد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الجوانب،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منها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التنظيم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التجاري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يحدد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القوانين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واللوائح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تحكم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التأسيس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وإدارة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الشركات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والأعمال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الصفقات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التجارية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يتعامل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مع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العقود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والاتفاقيات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ويوفر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الإطار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لتنفيذ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وفسخ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هذه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الصفقات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حقوق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والتزامات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التجار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ينص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على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حقوق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والتزامات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الأفراد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والشركات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المشاركة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النشاط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بما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ذلك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المسؤوليات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المالية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والقانونية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حماية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المستهلكين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يهتم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بتنظيم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السلع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والخدمات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يقدمها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للمستهلكين،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ويحدد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حقوق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المستهلك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وواجبات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التحكيم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التجاري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يوفر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إطاراً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قانونياً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لحل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النزاعات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بوساطة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التحكيم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8455AC" w:rsidRDefault="00136701" w:rsidP="008455AC">
      <w:pPr>
        <w:pStyle w:val="a3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bidi/>
        <w:spacing w:before="0" w:beforeAutospacing="0" w:after="0" w:afterAutospacing="0"/>
        <w:divId w:val="475496264"/>
        <w:rPr>
          <w:rFonts w:ascii="Simplified Arabic" w:hAnsi="Simplified Arabic" w:cs="Simplified Arabic"/>
          <w:color w:val="000000"/>
          <w:sz w:val="28"/>
          <w:szCs w:val="28"/>
        </w:rPr>
      </w:pP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الشركات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والتصفية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 xml:space="preserve"> 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  <w:rtl/>
        </w:rPr>
        <w:t>التجارية</w:t>
      </w:r>
      <w:r w:rsidRPr="008455A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: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يدير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قوانين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إنشاء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الشركات،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ويقرر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إجراءات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التصفية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حالة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إغلاق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الأعمال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136701" w:rsidRPr="007469CC" w:rsidRDefault="00136701" w:rsidP="007469C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bidi/>
        <w:spacing w:before="300" w:beforeAutospacing="0" w:afterAutospacing="0"/>
        <w:divId w:val="475496264"/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</w:pP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يهدف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إلى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تعزيز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النزاهة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والشفافية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في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التعاملات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التجارية،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وضمان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استقرار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السوق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وحماية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حقوق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جميع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الأطراف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8455AC">
        <w:rPr>
          <w:rFonts w:ascii="Simplified Arabic" w:hAnsi="Simplified Arabic" w:cs="Simplified Arabic"/>
          <w:color w:val="000000"/>
          <w:sz w:val="28"/>
          <w:szCs w:val="28"/>
          <w:rtl/>
        </w:rPr>
        <w:t>المعنية</w:t>
      </w:r>
      <w:r w:rsidRPr="008455AC">
        <w:rPr>
          <w:rFonts w:ascii="Simplified Arabic" w:hAnsi="Simplified Arabic" w:cs="Simplified Arabic"/>
          <w:color w:val="000000"/>
          <w:sz w:val="28"/>
          <w:szCs w:val="28"/>
        </w:rPr>
        <w:t>.</w:t>
      </w:r>
      <w:bookmarkStart w:id="0" w:name="_GoBack"/>
      <w:bookmarkEnd w:id="0"/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Concept du Droit Commercial :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Le droit commercial est une branche du droit qui traite spécifiquement du commerce et des activités commerciales. Il vise à réglementer les relations juridiques entre les parties impliquées dans le commerce et à garantir le bon déroulement des affaires de manière normative et équitable. Le concept englobe plusieurs aspects, notamment :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lastRenderedPageBreak/>
        <w:t>Réglementation Commerciale : Le droit commercial établit les lois et réglementations qui gouvernent la création et la gestion des entreprises et des activités commerciales.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Transactions Commerciales : Il traite des contrats et accords commerciaux, fournissant le cadre juridique pour l'exécution et la résiliation de ces transactions.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Droits et Obligations Commerciaux : Il énonce les droits et obligations des individus et des entreprises participant à l'activité commerciale, y compris les responsabilités financières et légales.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Protection des Consommateurs : Il se préoccupe de la régulation des biens et services fournis par les commerçants aux consommateurs, définissant les droits des consommateurs et les devoirs des commerçants.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Arbitrage Commercial : Il fournit un cadre juridique pour la résolution des litiges commerciaux par le biais de l'arbitrage.</w:t>
      </w:r>
    </w:p>
    <w:p w:rsidR="00901ABC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/>
        <w:jc w:val="both"/>
        <w:divId w:val="1748382565"/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Sociétés et Liquidation Commerciale : Il gère les lois sur la création d'entreprises et décide des procédures de liquidation en cas de fermeture d'activités commerciales.</w:t>
      </w:r>
    </w:p>
    <w:p w:rsidR="00136701" w:rsidRPr="00901ABC" w:rsidRDefault="00901ABC" w:rsidP="00901ABC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jc w:val="both"/>
        <w:divId w:val="1748382565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901ABC">
        <w:rPr>
          <w:rStyle w:val="a4"/>
          <w:rFonts w:ascii="Simplified Arabic" w:hAnsi="Simplified Arabic" w:cs="Simplified Arabic"/>
          <w:color w:val="000000"/>
          <w:sz w:val="28"/>
          <w:szCs w:val="28"/>
          <w:bdr w:val="single" w:sz="2" w:space="0" w:color="D9D9E3" w:frame="1"/>
        </w:rPr>
        <w:t>Le droit commercial vise à renforcer l'intégrité et la transparence dans les transactions commerciales, à assurer la stabilité du marché et à protéger les droits de toutes les parties concernées.</w:t>
      </w:r>
    </w:p>
    <w:p w:rsidR="00136701" w:rsidRPr="008455AC" w:rsidRDefault="00136701" w:rsidP="008455AC">
      <w:pPr>
        <w:pStyle w:val="a5"/>
        <w:bidi/>
        <w:divId w:val="1411350340"/>
        <w:rPr>
          <w:rFonts w:ascii="Simplified Arabic" w:hAnsi="Simplified Arabic" w:cs="Simplified Arabic"/>
          <w:sz w:val="28"/>
          <w:szCs w:val="28"/>
        </w:rPr>
      </w:pPr>
      <w:r w:rsidRPr="008455AC">
        <w:rPr>
          <w:rFonts w:ascii="Simplified Arabic" w:hAnsi="Simplified Arabic" w:cs="Simplified Arabic"/>
          <w:sz w:val="28"/>
          <w:szCs w:val="28"/>
        </w:rPr>
        <w:t>Haut du formulaire</w:t>
      </w:r>
    </w:p>
    <w:p w:rsidR="00136701" w:rsidRPr="008455AC" w:rsidRDefault="00136701" w:rsidP="008455AC">
      <w:pPr>
        <w:pStyle w:val="a6"/>
        <w:bidi/>
        <w:divId w:val="1411350340"/>
        <w:rPr>
          <w:rFonts w:ascii="Simplified Arabic" w:hAnsi="Simplified Arabic" w:cs="Simplified Arabic"/>
          <w:sz w:val="28"/>
          <w:szCs w:val="28"/>
        </w:rPr>
      </w:pPr>
      <w:r w:rsidRPr="008455AC">
        <w:rPr>
          <w:rFonts w:ascii="Simplified Arabic" w:hAnsi="Simplified Arabic" w:cs="Simplified Arabic"/>
          <w:sz w:val="28"/>
          <w:szCs w:val="28"/>
        </w:rPr>
        <w:t>Bas du formulaire</w:t>
      </w:r>
    </w:p>
    <w:p w:rsidR="00136701" w:rsidRPr="008455AC" w:rsidRDefault="00136701" w:rsidP="008455AC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136701" w:rsidRPr="00845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3C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412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01"/>
    <w:rsid w:val="00136701"/>
    <w:rsid w:val="007469CC"/>
    <w:rsid w:val="008455AC"/>
    <w:rsid w:val="009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70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136701"/>
    <w:rPr>
      <w:b/>
      <w:bCs/>
    </w:rPr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13670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har">
    <w:name w:val="أعلى النموذج Char"/>
    <w:basedOn w:val="a0"/>
    <w:link w:val="a5"/>
    <w:uiPriority w:val="99"/>
    <w:semiHidden/>
    <w:rsid w:val="00136701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a6">
    <w:name w:val="HTML Bottom of Form"/>
    <w:basedOn w:val="a"/>
    <w:next w:val="a"/>
    <w:link w:val="Char0"/>
    <w:hidden/>
    <w:uiPriority w:val="99"/>
    <w:semiHidden/>
    <w:unhideWhenUsed/>
    <w:rsid w:val="0013670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har0">
    <w:name w:val="أسفل النموذج Char"/>
    <w:basedOn w:val="a0"/>
    <w:link w:val="a6"/>
    <w:uiPriority w:val="99"/>
    <w:semiHidden/>
    <w:rsid w:val="00136701"/>
    <w:rPr>
      <w:rFonts w:ascii="Arial" w:hAnsi="Arial" w:cs="Arial"/>
      <w:vanish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70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136701"/>
    <w:rPr>
      <w:b/>
      <w:bCs/>
    </w:rPr>
  </w:style>
  <w:style w:type="paragraph" w:styleId="a5">
    <w:name w:val="HTML Top of Form"/>
    <w:basedOn w:val="a"/>
    <w:next w:val="a"/>
    <w:link w:val="Char"/>
    <w:hidden/>
    <w:uiPriority w:val="99"/>
    <w:semiHidden/>
    <w:unhideWhenUsed/>
    <w:rsid w:val="0013670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har">
    <w:name w:val="أعلى النموذج Char"/>
    <w:basedOn w:val="a0"/>
    <w:link w:val="a5"/>
    <w:uiPriority w:val="99"/>
    <w:semiHidden/>
    <w:rsid w:val="00136701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a6">
    <w:name w:val="HTML Bottom of Form"/>
    <w:basedOn w:val="a"/>
    <w:next w:val="a"/>
    <w:link w:val="Char0"/>
    <w:hidden/>
    <w:uiPriority w:val="99"/>
    <w:semiHidden/>
    <w:unhideWhenUsed/>
    <w:rsid w:val="0013670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har0">
    <w:name w:val="أسفل النموذج Char"/>
    <w:basedOn w:val="a0"/>
    <w:link w:val="a6"/>
    <w:uiPriority w:val="99"/>
    <w:semiHidden/>
    <w:rsid w:val="00136701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6232"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1752115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95822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2165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8553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1542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122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09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09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76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4365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549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19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635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69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770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15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2157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357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838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50340"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Dr.Radia</cp:lastModifiedBy>
  <cp:revision>5</cp:revision>
  <dcterms:created xsi:type="dcterms:W3CDTF">2023-12-15T13:49:00Z</dcterms:created>
  <dcterms:modified xsi:type="dcterms:W3CDTF">2023-12-18T11:03:00Z</dcterms:modified>
</cp:coreProperties>
</file>