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18D2" w14:textId="082FB43A" w:rsidR="000E51D7" w:rsidRPr="000E51D7" w:rsidRDefault="000E51D7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0E51D7">
        <w:rPr>
          <w:rFonts w:ascii="Times New Roman" w:hAnsi="Times New Roman" w:cs="Times New Roman"/>
          <w:sz w:val="24"/>
          <w:szCs w:val="24"/>
          <w:lang w:val="fr-FR"/>
        </w:rPr>
        <w:t>TP .</w:t>
      </w:r>
      <w:proofErr w:type="gramEnd"/>
      <w:r w:rsidRPr="000E51D7">
        <w:rPr>
          <w:rFonts w:ascii="Times New Roman" w:hAnsi="Times New Roman" w:cs="Times New Roman"/>
          <w:sz w:val="24"/>
          <w:szCs w:val="24"/>
          <w:lang w:val="fr-FR"/>
        </w:rPr>
        <w:t xml:space="preserve"> Microbiologie 2 </w:t>
      </w:r>
      <w:proofErr w:type="spellStart"/>
      <w:r w:rsidRPr="000E51D7">
        <w:rPr>
          <w:rFonts w:ascii="Times New Roman" w:hAnsi="Times New Roman" w:cs="Times New Roman"/>
          <w:sz w:val="24"/>
          <w:szCs w:val="24"/>
          <w:lang w:val="fr-FR"/>
        </w:rPr>
        <w:t>ème</w:t>
      </w:r>
      <w:proofErr w:type="spellEnd"/>
      <w:r w:rsidRPr="000E51D7">
        <w:rPr>
          <w:rFonts w:ascii="Times New Roman" w:hAnsi="Times New Roman" w:cs="Times New Roman"/>
          <w:sz w:val="24"/>
          <w:szCs w:val="24"/>
          <w:lang w:val="fr-FR"/>
        </w:rPr>
        <w:t xml:space="preserve"> année écologie et agronomie  </w:t>
      </w:r>
    </w:p>
    <w:p w14:paraId="49FC41CC" w14:textId="77777777" w:rsidR="000E51D7" w:rsidRDefault="000E51D7" w:rsidP="000E51D7">
      <w:pPr>
        <w:jc w:val="center"/>
        <w:rPr>
          <w:rFonts w:ascii="Times New Roman" w:hAnsi="Times New Roman" w:cs="Times New Roman"/>
          <w:sz w:val="48"/>
          <w:szCs w:val="48"/>
          <w:lang w:val="fr-FR"/>
        </w:rPr>
      </w:pPr>
    </w:p>
    <w:p w14:paraId="3A0969A1" w14:textId="095FFF1E" w:rsidR="00550FAC" w:rsidRDefault="000E51D7" w:rsidP="000E51D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fr-FR"/>
        </w:rPr>
      </w:pPr>
      <w:r w:rsidRPr="000E51D7">
        <w:rPr>
          <w:rFonts w:ascii="Times New Roman" w:hAnsi="Times New Roman" w:cs="Times New Roman"/>
          <w:b/>
          <w:bCs/>
          <w:sz w:val="48"/>
          <w:szCs w:val="48"/>
          <w:lang w:val="fr-FR"/>
        </w:rPr>
        <w:t>TP</w:t>
      </w:r>
      <w:r w:rsidR="00F83D42">
        <w:rPr>
          <w:rFonts w:ascii="Times New Roman" w:hAnsi="Times New Roman" w:cs="Times New Roman"/>
          <w:b/>
          <w:bCs/>
          <w:sz w:val="48"/>
          <w:szCs w:val="48"/>
          <w:lang w:val="fr-FR"/>
        </w:rPr>
        <w:t xml:space="preserve"> N 2 : </w:t>
      </w:r>
      <w:r w:rsidRPr="000E51D7">
        <w:rPr>
          <w:rFonts w:ascii="Times New Roman" w:hAnsi="Times New Roman" w:cs="Times New Roman"/>
          <w:b/>
          <w:bCs/>
          <w:sz w:val="48"/>
          <w:szCs w:val="48"/>
          <w:lang w:val="fr-FR"/>
        </w:rPr>
        <w:t xml:space="preserve"> Les Milieux de Culture</w:t>
      </w:r>
    </w:p>
    <w:p w14:paraId="3C4D981F" w14:textId="2B4178E0" w:rsidR="00F83D42" w:rsidRPr="00F83D42" w:rsidRDefault="00F83D42" w:rsidP="00F83D42">
      <w:pPr>
        <w:pStyle w:val="NormalWeb"/>
        <w:spacing w:before="0" w:beforeAutospacing="0" w:line="360" w:lineRule="auto"/>
        <w:jc w:val="both"/>
        <w:rPr>
          <w:rStyle w:val="lev"/>
          <w:rFonts w:asciiTheme="majorBidi" w:hAnsiTheme="majorBidi" w:cstheme="majorBidi"/>
          <w:sz w:val="32"/>
          <w:szCs w:val="32"/>
        </w:rPr>
      </w:pPr>
      <w:r w:rsidRPr="00F83D42">
        <w:rPr>
          <w:rStyle w:val="lev"/>
          <w:rFonts w:asciiTheme="majorBidi" w:hAnsiTheme="majorBidi" w:cstheme="majorBidi"/>
          <w:sz w:val="32"/>
          <w:szCs w:val="32"/>
        </w:rPr>
        <w:t xml:space="preserve">Principe </w:t>
      </w:r>
    </w:p>
    <w:p w14:paraId="129381A4" w14:textId="62D5BA01" w:rsidR="000E51D7" w:rsidRPr="00F83D42" w:rsidRDefault="000E51D7" w:rsidP="00F83D42">
      <w:pPr>
        <w:pStyle w:val="NormalWeb"/>
        <w:spacing w:before="0" w:before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3D42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les milieux de cultures</w:t>
      </w:r>
      <w:r w:rsidRPr="00F83D42">
        <w:rPr>
          <w:rFonts w:asciiTheme="majorBidi" w:hAnsiTheme="majorBidi" w:cstheme="majorBidi"/>
          <w:sz w:val="28"/>
          <w:szCs w:val="28"/>
        </w:rPr>
        <w:t> sont indispensables à la multiplication bactérienne, ce qui permet par la suite </w:t>
      </w:r>
      <w:hyperlink r:id="rId6" w:tgtFrame="_blank" w:history="1">
        <w:r w:rsidRPr="00F83D42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l’identification</w:t>
        </w:r>
      </w:hyperlink>
      <w:r w:rsidRPr="00F83D42">
        <w:rPr>
          <w:rFonts w:asciiTheme="majorBidi" w:hAnsiTheme="majorBidi" w:cstheme="majorBidi"/>
          <w:sz w:val="28"/>
          <w:szCs w:val="28"/>
        </w:rPr>
        <w:t> ainsi que l’étude de </w:t>
      </w:r>
      <w:hyperlink r:id="rId7" w:tgtFrame="_blank" w:history="1">
        <w:r w:rsidRPr="00F83D42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la sensibilité aux antibiotiques</w:t>
        </w:r>
      </w:hyperlink>
      <w:r w:rsidRPr="00F83D42">
        <w:rPr>
          <w:rFonts w:asciiTheme="majorBidi" w:hAnsiTheme="majorBidi" w:cstheme="majorBidi"/>
          <w:sz w:val="28"/>
          <w:szCs w:val="28"/>
        </w:rPr>
        <w:t> lorsque la bactérie est isolée en culture pure.</w:t>
      </w:r>
    </w:p>
    <w:p w14:paraId="52B1A3C3" w14:textId="44B2D417" w:rsidR="00F83D42" w:rsidRPr="00F83D42" w:rsidRDefault="000E51D7" w:rsidP="00F83D42">
      <w:pPr>
        <w:pStyle w:val="NormalWeb"/>
        <w:spacing w:before="0" w:before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3D42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Un milieu de culture</w:t>
      </w:r>
      <w:r w:rsidRPr="00F83D42">
        <w:rPr>
          <w:rFonts w:asciiTheme="majorBidi" w:hAnsiTheme="majorBidi" w:cstheme="majorBidi"/>
          <w:sz w:val="28"/>
          <w:szCs w:val="28"/>
        </w:rPr>
        <w:t> est une préparation au sein de laquelle des micro-organismes peuvent se multiplier. Il doit donc satisfaire les exigences nutritives du micro-organisme étudié et posséder les propriétés physico-chimiques convenant à cette culture</w:t>
      </w:r>
      <w:r w:rsidR="00F83D42">
        <w:rPr>
          <w:rFonts w:asciiTheme="majorBidi" w:hAnsiTheme="majorBidi" w:cstheme="majorBidi"/>
          <w:sz w:val="28"/>
          <w:szCs w:val="28"/>
        </w:rPr>
        <w:t xml:space="preserve">. On classer les milieux de cultures par suivants : </w:t>
      </w:r>
    </w:p>
    <w:p w14:paraId="600E697B" w14:textId="77777777" w:rsidR="00915E6C" w:rsidRPr="00915E6C" w:rsidRDefault="00915E6C" w:rsidP="00F83D42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915E6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1.Selon leur consistance : </w:t>
      </w:r>
    </w:p>
    <w:p w14:paraId="1E631444" w14:textId="77777777" w:rsidR="00915E6C" w:rsidRDefault="00915E6C" w:rsidP="00F83D4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915E6C">
        <w:rPr>
          <w:rFonts w:asciiTheme="majorBidi" w:hAnsiTheme="majorBidi" w:cstheme="majorBidi"/>
          <w:b/>
          <w:bCs/>
          <w:sz w:val="28"/>
          <w:szCs w:val="28"/>
          <w:lang w:val="fr-FR"/>
        </w:rPr>
        <w:t>Milieu liquide :</w:t>
      </w: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0EE45172" w14:textId="4AAAC641" w:rsidR="00915E6C" w:rsidRPr="00915E6C" w:rsidRDefault="00915E6C" w:rsidP="00F83D4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15E6C">
        <w:rPr>
          <w:rFonts w:asciiTheme="majorBidi" w:hAnsiTheme="majorBidi" w:cstheme="majorBidi"/>
          <w:sz w:val="28"/>
          <w:szCs w:val="28"/>
          <w:lang w:val="fr-FR"/>
        </w:rPr>
        <w:t>Ne</w:t>
      </w: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contenant pas l’agar agar par ex : bouillon nutritif, la croissance se traduit par un trouble ou des dépôts et des voiles superficiels. </w:t>
      </w:r>
    </w:p>
    <w:p w14:paraId="1011E564" w14:textId="77777777" w:rsidR="00915E6C" w:rsidRPr="00915E6C" w:rsidRDefault="00915E6C" w:rsidP="00F83D4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Exemple : bouillon nutritif BN, Bouillon </w:t>
      </w:r>
      <w:proofErr w:type="spellStart"/>
      <w:r w:rsidRPr="00915E6C">
        <w:rPr>
          <w:rFonts w:asciiTheme="majorBidi" w:hAnsiTheme="majorBidi" w:cstheme="majorBidi"/>
          <w:sz w:val="28"/>
          <w:szCs w:val="28"/>
          <w:lang w:val="fr-FR"/>
        </w:rPr>
        <w:t>trypticase</w:t>
      </w:r>
      <w:proofErr w:type="spellEnd"/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soja (TSB), Brain-</w:t>
      </w:r>
      <w:proofErr w:type="spellStart"/>
      <w:r w:rsidRPr="00915E6C">
        <w:rPr>
          <w:rFonts w:asciiTheme="majorBidi" w:hAnsiTheme="majorBidi" w:cstheme="majorBidi"/>
          <w:sz w:val="28"/>
          <w:szCs w:val="28"/>
          <w:lang w:val="fr-FR"/>
        </w:rPr>
        <w:t>Heart</w:t>
      </w:r>
      <w:proofErr w:type="spellEnd"/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Infusion </w:t>
      </w:r>
      <w:proofErr w:type="spellStart"/>
      <w:r w:rsidRPr="00915E6C">
        <w:rPr>
          <w:rFonts w:asciiTheme="majorBidi" w:hAnsiTheme="majorBidi" w:cstheme="majorBidi"/>
          <w:sz w:val="28"/>
          <w:szCs w:val="28"/>
          <w:lang w:val="fr-FR"/>
        </w:rPr>
        <w:t>Broth</w:t>
      </w:r>
      <w:proofErr w:type="spellEnd"/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BHIB </w:t>
      </w:r>
      <w:proofErr w:type="spellStart"/>
      <w:r w:rsidRPr="00915E6C">
        <w:rPr>
          <w:rFonts w:asciiTheme="majorBidi" w:hAnsiTheme="majorBidi" w:cstheme="majorBidi"/>
          <w:sz w:val="28"/>
          <w:szCs w:val="28"/>
          <w:lang w:val="fr-FR"/>
        </w:rPr>
        <w:t>ect</w:t>
      </w:r>
      <w:proofErr w:type="spellEnd"/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… </w:t>
      </w:r>
    </w:p>
    <w:p w14:paraId="69E42D5D" w14:textId="77777777" w:rsidR="00915E6C" w:rsidRDefault="00915E6C" w:rsidP="00F83D4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15E6C">
        <w:rPr>
          <w:rFonts w:asciiTheme="majorBidi" w:hAnsiTheme="majorBidi" w:cstheme="majorBidi"/>
          <w:b/>
          <w:bCs/>
          <w:sz w:val="28"/>
          <w:szCs w:val="28"/>
          <w:lang w:val="fr-FR"/>
        </w:rPr>
        <w:t>b</w:t>
      </w:r>
      <w:proofErr w:type="gramEnd"/>
      <w:r w:rsidRPr="00915E6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- </w:t>
      </w:r>
      <w:r w:rsidRPr="00915E6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Milieu solide :</w:t>
      </w: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47B24CF2" w14:textId="468EA887" w:rsidR="00915E6C" w:rsidRPr="00915E6C" w:rsidRDefault="00915E6C" w:rsidP="00F83D4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On obtient les milieux solides en ajoutant un agent gélifiant à un milieu liquide. </w:t>
      </w:r>
    </w:p>
    <w:p w14:paraId="2100D899" w14:textId="77777777" w:rsidR="00915E6C" w:rsidRPr="00915E6C" w:rsidRDefault="00915E6C" w:rsidP="00F83D4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15E6C">
        <w:rPr>
          <w:rFonts w:asciiTheme="majorBidi" w:hAnsiTheme="majorBidi" w:cstheme="majorBidi"/>
          <w:sz w:val="28"/>
          <w:szCs w:val="28"/>
          <w:lang w:val="fr-FR"/>
        </w:rPr>
        <w:t>Le gélifiant le plus utilisé est l’agar-agar ou gélose</w:t>
      </w:r>
      <w:r w:rsidRPr="00915E6C"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il s’agit d’un </w:t>
      </w:r>
      <w:proofErr w:type="spellStart"/>
      <w:r w:rsidRPr="00915E6C">
        <w:rPr>
          <w:rFonts w:asciiTheme="majorBidi" w:hAnsiTheme="majorBidi" w:cstheme="majorBidi"/>
          <w:sz w:val="28"/>
          <w:szCs w:val="28"/>
          <w:lang w:val="fr-FR"/>
        </w:rPr>
        <w:t>polygalactoside</w:t>
      </w:r>
      <w:proofErr w:type="spellEnd"/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sulfaté présentant la propriété de former avec l’eau un gel solide à une température </w:t>
      </w:r>
      <w:r w:rsidRPr="00915E6C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inférieure à environ 60 °C tout en étant liquéfiable par ébullition, auquel cas, il reste en surfusion (liquide) jusqu’aux environs de 45°C. </w:t>
      </w:r>
    </w:p>
    <w:p w14:paraId="7241A388" w14:textId="77777777" w:rsidR="00915E6C" w:rsidRPr="00915E6C" w:rsidRDefault="00915E6C" w:rsidP="00F83D4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D’autre part, très peu de micro-organismes sont capables d’hydrolyser l’agar. </w:t>
      </w:r>
    </w:p>
    <w:p w14:paraId="1FAD5CFD" w14:textId="77777777" w:rsidR="00915E6C" w:rsidRDefault="00915E6C" w:rsidP="00F83D4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15E6C">
        <w:rPr>
          <w:rFonts w:asciiTheme="majorBidi" w:hAnsiTheme="majorBidi" w:cstheme="majorBidi"/>
          <w:sz w:val="28"/>
          <w:szCs w:val="28"/>
          <w:lang w:val="fr-FR"/>
        </w:rPr>
        <w:t>Les milieux solides contenant généralement 1-</w:t>
      </w: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2% d’agar agar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320D4589" w14:textId="19A9BC66" w:rsidR="00915E6C" w:rsidRDefault="00915E6C" w:rsidP="00915E6C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15E6C">
        <w:rPr>
          <w:rFonts w:asciiTheme="majorBidi" w:hAnsiTheme="majorBidi" w:cstheme="majorBidi"/>
          <w:b/>
          <w:bCs/>
          <w:sz w:val="28"/>
          <w:szCs w:val="28"/>
          <w:lang w:val="fr-FR"/>
        </w:rPr>
        <w:t>Exemple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 :</w:t>
      </w:r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 Gélose nutritive GN, gélose Mac </w:t>
      </w:r>
      <w:proofErr w:type="spellStart"/>
      <w:r w:rsidRPr="00915E6C">
        <w:rPr>
          <w:rFonts w:asciiTheme="majorBidi" w:hAnsiTheme="majorBidi" w:cstheme="majorBidi"/>
          <w:sz w:val="28"/>
          <w:szCs w:val="28"/>
          <w:lang w:val="fr-FR"/>
        </w:rPr>
        <w:t>Conkey</w:t>
      </w:r>
      <w:proofErr w:type="spellEnd"/>
      <w:r w:rsidRPr="00915E6C">
        <w:rPr>
          <w:rFonts w:asciiTheme="majorBidi" w:hAnsiTheme="majorBidi" w:cstheme="majorBidi"/>
          <w:sz w:val="28"/>
          <w:szCs w:val="28"/>
          <w:lang w:val="fr-FR"/>
        </w:rPr>
        <w:t xml:space="preserve">, Gélose Muller-Hinton etc. </w:t>
      </w:r>
    </w:p>
    <w:p w14:paraId="57F4B220" w14:textId="77777777" w:rsidR="00011A74" w:rsidRDefault="00011A74" w:rsidP="00915E6C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13B79818" w14:textId="734D77DC" w:rsidR="00011A74" w:rsidRPr="00915E6C" w:rsidRDefault="00011A74" w:rsidP="00915E6C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2AFF871" wp14:editId="7344764F">
            <wp:extent cx="5835988" cy="2573079"/>
            <wp:effectExtent l="0" t="0" r="0" b="0"/>
            <wp:docPr id="286643580" name="Image 1" descr="Préparation et propriétés de milieux de culture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éparation et propriétés de milieux de culture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23" cy="258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79AC" w14:textId="77777777" w:rsidR="00F83D42" w:rsidRDefault="00F83D42" w:rsidP="00F83D42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7DBBA544" w14:textId="660A0BA3" w:rsidR="00F83D42" w:rsidRPr="00F83D42" w:rsidRDefault="00915E6C" w:rsidP="00F83D42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F83D42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F83D42" w:rsidRPr="00F83D42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proofErr w:type="spellStart"/>
      <w:r w:rsidR="00F83D42" w:rsidRPr="00F83D42">
        <w:rPr>
          <w:rFonts w:asciiTheme="majorBidi" w:hAnsiTheme="majorBidi" w:cstheme="majorBidi"/>
          <w:b/>
          <w:bCs/>
          <w:sz w:val="32"/>
          <w:szCs w:val="32"/>
        </w:rPr>
        <w:t>Selon</w:t>
      </w:r>
      <w:proofErr w:type="spellEnd"/>
      <w:r w:rsidR="00F83D42" w:rsidRPr="00F83D4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F83D42" w:rsidRPr="00F83D42">
        <w:rPr>
          <w:rFonts w:asciiTheme="majorBidi" w:hAnsiTheme="majorBidi" w:cstheme="majorBidi"/>
          <w:b/>
          <w:bCs/>
          <w:sz w:val="32"/>
          <w:szCs w:val="32"/>
        </w:rPr>
        <w:t>leur</w:t>
      </w:r>
      <w:proofErr w:type="spellEnd"/>
      <w:r w:rsidR="00F83D42" w:rsidRPr="00F83D4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83D42" w:rsidRPr="00F83D42">
        <w:rPr>
          <w:rFonts w:asciiTheme="majorBidi" w:hAnsiTheme="majorBidi" w:cstheme="majorBidi"/>
          <w:b/>
          <w:bCs/>
          <w:sz w:val="32"/>
          <w:szCs w:val="32"/>
        </w:rPr>
        <w:t>composition:</w:t>
      </w:r>
    </w:p>
    <w:p w14:paraId="56576016" w14:textId="2A6D6C7E" w:rsidR="00B35B80" w:rsidRPr="00B35B80" w:rsidRDefault="00F83D42" w:rsidP="00F83D4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a</w:t>
      </w:r>
      <w:proofErr w:type="gramEnd"/>
      <w:r w:rsidR="00B35B80" w:rsidRPr="00B35B8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- Les milieux synthétiques : </w:t>
      </w:r>
    </w:p>
    <w:p w14:paraId="72F1003C" w14:textId="43641E25" w:rsidR="00B35B80" w:rsidRPr="00B35B80" w:rsidRDefault="00B35B80" w:rsidP="00F83D4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sz w:val="28"/>
          <w:szCs w:val="28"/>
          <w:lang w:val="fr-FR"/>
        </w:rPr>
        <w:t>De</w:t>
      </w:r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 composition connue. Ils sont utilisés dans la plupart des cas pour l’étude les bactéries autotrophes ou les besoins nutritifs d’un micro-organisme. Ils sont rarement utilisés en routine à l’exception de quelques milieux tels : Citrate de Simons, Citrate de Christensen, Urée-Tryptophane…</w:t>
      </w:r>
    </w:p>
    <w:p w14:paraId="603E2992" w14:textId="42E7F66A" w:rsidR="00B35B80" w:rsidRPr="00B35B80" w:rsidRDefault="00F83D42" w:rsidP="00F83D4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b</w:t>
      </w:r>
      <w:proofErr w:type="gramEnd"/>
      <w:r w:rsidR="00B35B80" w:rsidRPr="00B35B8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- Les milieux empiriques : </w:t>
      </w:r>
    </w:p>
    <w:p w14:paraId="786D2230" w14:textId="5451BB53" w:rsidR="000E51D7" w:rsidRPr="00B35B80" w:rsidRDefault="00B35B80" w:rsidP="00F83D4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sz w:val="28"/>
          <w:szCs w:val="28"/>
          <w:lang w:val="fr-FR"/>
        </w:rPr>
        <w:lastRenderedPageBreak/>
        <w:t>De</w:t>
      </w:r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 composition connue seulement avec approximation car dépendant des matières premières utilisées : extrait de viande ou de levure, peptones, sucres et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éventuellement liquides biologiques (sérum, sang…) mais qui conviennent aux microorganismes étudiés. Ce sont les milieux les plus employés de nos jours comme : LB, Columbia, </w:t>
      </w:r>
      <w:proofErr w:type="spellStart"/>
      <w:r w:rsidRPr="00B35B80">
        <w:rPr>
          <w:rFonts w:asciiTheme="majorBidi" w:hAnsiTheme="majorBidi" w:cstheme="majorBidi"/>
          <w:sz w:val="28"/>
          <w:szCs w:val="28"/>
          <w:lang w:val="fr-FR"/>
        </w:rPr>
        <w:t>Gassner</w:t>
      </w:r>
      <w:proofErr w:type="spellEnd"/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proofErr w:type="spellStart"/>
      <w:r w:rsidRPr="00B35B80">
        <w:rPr>
          <w:rFonts w:asciiTheme="majorBidi" w:hAnsiTheme="majorBidi" w:cstheme="majorBidi"/>
          <w:sz w:val="28"/>
          <w:szCs w:val="28"/>
          <w:lang w:val="fr-FR"/>
        </w:rPr>
        <w:t>Tryptycase</w:t>
      </w:r>
      <w:proofErr w:type="spellEnd"/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 soja, Chocolat, …</w:t>
      </w:r>
    </w:p>
    <w:p w14:paraId="6EA7A307" w14:textId="77777777" w:rsidR="000E51D7" w:rsidRPr="00B35B80" w:rsidRDefault="000E51D7" w:rsidP="00B35B80">
      <w:pPr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478EA1B9" w14:textId="77777777" w:rsidR="000E51D7" w:rsidRDefault="000E51D7" w:rsidP="000E51D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fr-FR"/>
        </w:rPr>
      </w:pPr>
    </w:p>
    <w:p w14:paraId="2CF05BED" w14:textId="77777777" w:rsidR="00011A74" w:rsidRDefault="00011A74" w:rsidP="000E51D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fr-FR"/>
        </w:rPr>
        <w:sectPr w:rsidR="00011A74" w:rsidSect="00011A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1B7696" w14:textId="57E515C6" w:rsidR="00F83D42" w:rsidRDefault="00011A74" w:rsidP="00F83D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fr-FR"/>
        </w:rPr>
        <w:sectPr w:rsidR="00F83D42" w:rsidSect="00011A7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B8DDB4C" wp14:editId="5EC24A02">
            <wp:extent cx="8229600" cy="5869172"/>
            <wp:effectExtent l="0" t="0" r="0" b="0"/>
            <wp:docPr id="901048276" name="Image 2" descr="Document sans 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ument sans n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174" cy="587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C6A4" w14:textId="0C313603" w:rsidR="00011A74" w:rsidRDefault="00011A74" w:rsidP="00011A74">
      <w:pPr>
        <w:tabs>
          <w:tab w:val="left" w:pos="921"/>
        </w:tabs>
        <w:rPr>
          <w:rFonts w:ascii="Times New Roman" w:hAnsi="Times New Roman" w:cs="Times New Roman"/>
          <w:b/>
          <w:bCs/>
          <w:sz w:val="48"/>
          <w:szCs w:val="48"/>
          <w:lang w:val="fr-FR"/>
        </w:rPr>
      </w:pPr>
    </w:p>
    <w:p w14:paraId="2F840F44" w14:textId="422C0223" w:rsidR="00B35B80" w:rsidRPr="00F83D42" w:rsidRDefault="00F83D42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F83D42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3- </w:t>
      </w:r>
      <w:r w:rsidR="00B35B80" w:rsidRPr="00F83D42">
        <w:rPr>
          <w:rFonts w:asciiTheme="majorBidi" w:hAnsiTheme="majorBidi" w:cstheme="majorBidi"/>
          <w:b/>
          <w:bCs/>
          <w:sz w:val="32"/>
          <w:szCs w:val="32"/>
          <w:lang w:val="fr-FR"/>
        </w:rPr>
        <w:t>Mode opératoire Matériels :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préparation de milieu de culture </w:t>
      </w:r>
    </w:p>
    <w:p w14:paraId="5AB6C693" w14:textId="0D7A1637" w:rsidR="00B35B80" w:rsidRPr="00B35B80" w:rsidRDefault="00B35B80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 - 2 béchers de 500 ml, thermomètre, agitateur, bec bunsen, trépied et sa grille, boites de pétri, des tubes à vis stériles, pince en bois ou gants</w:t>
      </w:r>
    </w:p>
    <w:p w14:paraId="3011BC3C" w14:textId="5C147A44" w:rsidR="00B35B80" w:rsidRPr="00B35B80" w:rsidRDefault="00B35B80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Produits : </w:t>
      </w:r>
    </w:p>
    <w:p w14:paraId="0A55727D" w14:textId="1FB2F946" w:rsidR="00B35B80" w:rsidRPr="00B35B80" w:rsidRDefault="00B35B80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sz w:val="28"/>
          <w:szCs w:val="28"/>
          <w:lang w:val="fr-FR"/>
        </w:rPr>
        <w:t>- Bouillions nutritif (BN) et Gélose Nutritive (GN), en poudre, - Eau distillée,</w:t>
      </w:r>
    </w:p>
    <w:p w14:paraId="60FD44D3" w14:textId="77777777" w:rsidR="00B35B80" w:rsidRPr="00B35B80" w:rsidRDefault="00B35B80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Protocole :</w:t>
      </w:r>
    </w:p>
    <w:p w14:paraId="739B5EA1" w14:textId="77777777" w:rsidR="00B35B80" w:rsidRPr="00B35B80" w:rsidRDefault="00B35B80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 • Peser la masse nécessaire de poudre GN pour 250 ml d'eau distillée.</w:t>
      </w:r>
    </w:p>
    <w:p w14:paraId="15E94480" w14:textId="77777777" w:rsidR="00B35B80" w:rsidRPr="00B35B80" w:rsidRDefault="00B35B80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 • Dissoudre la poudre dans le diluant à l'aide de l'agitateur.</w:t>
      </w:r>
    </w:p>
    <w:p w14:paraId="57D81161" w14:textId="77777777" w:rsidR="00B35B80" w:rsidRPr="00B35B80" w:rsidRDefault="00B35B80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 • Chauffer au bec bunsen jusqu'à l'ébullition </w:t>
      </w:r>
    </w:p>
    <w:p w14:paraId="34035D1E" w14:textId="77777777" w:rsidR="00B35B80" w:rsidRPr="00B35B80" w:rsidRDefault="00B35B80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sz w:val="28"/>
          <w:szCs w:val="28"/>
          <w:lang w:val="fr-FR"/>
        </w:rPr>
        <w:t xml:space="preserve">• Laisser refroidir la préparation dans le cône stérile du bec bunsen </w:t>
      </w:r>
    </w:p>
    <w:p w14:paraId="594D7426" w14:textId="171FA4D6" w:rsidR="00B35B80" w:rsidRPr="00B35B80" w:rsidRDefault="00B35B80" w:rsidP="00B35B80">
      <w:pPr>
        <w:tabs>
          <w:tab w:val="left" w:pos="921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35B80">
        <w:rPr>
          <w:rFonts w:asciiTheme="majorBidi" w:hAnsiTheme="majorBidi" w:cstheme="majorBidi"/>
          <w:sz w:val="28"/>
          <w:szCs w:val="28"/>
          <w:lang w:val="fr-FR"/>
        </w:rPr>
        <w:t>• Lorsque la préparation a atteint une température inférieure à 60°C couler dans des boites de pétri et des tubes à vis stériles</w:t>
      </w:r>
    </w:p>
    <w:p w14:paraId="61D91455" w14:textId="77777777" w:rsidR="000E51D7" w:rsidRPr="00B35B80" w:rsidRDefault="000E51D7" w:rsidP="00B35B8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4567D9EF" w14:textId="0DFD5C2E" w:rsidR="000E51D7" w:rsidRPr="000E51D7" w:rsidRDefault="000E51D7" w:rsidP="000E51D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fr-FR"/>
        </w:rPr>
      </w:pPr>
    </w:p>
    <w:sectPr w:rsidR="000E51D7" w:rsidRPr="000E51D7" w:rsidSect="00011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2CFC" w14:textId="77777777" w:rsidR="009E78AD" w:rsidRDefault="009E78AD" w:rsidP="00011A74">
      <w:pPr>
        <w:spacing w:after="0" w:line="240" w:lineRule="auto"/>
      </w:pPr>
      <w:r>
        <w:separator/>
      </w:r>
    </w:p>
  </w:endnote>
  <w:endnote w:type="continuationSeparator" w:id="0">
    <w:p w14:paraId="5DC77DD1" w14:textId="77777777" w:rsidR="009E78AD" w:rsidRDefault="009E78AD" w:rsidP="0001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13E2" w14:textId="77777777" w:rsidR="009E78AD" w:rsidRDefault="009E78AD" w:rsidP="00011A74">
      <w:pPr>
        <w:spacing w:after="0" w:line="240" w:lineRule="auto"/>
      </w:pPr>
      <w:r>
        <w:separator/>
      </w:r>
    </w:p>
  </w:footnote>
  <w:footnote w:type="continuationSeparator" w:id="0">
    <w:p w14:paraId="424DA30B" w14:textId="77777777" w:rsidR="009E78AD" w:rsidRDefault="009E78AD" w:rsidP="00011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D7"/>
    <w:rsid w:val="00011A74"/>
    <w:rsid w:val="000E51D7"/>
    <w:rsid w:val="00550FAC"/>
    <w:rsid w:val="005D2DCF"/>
    <w:rsid w:val="006A0320"/>
    <w:rsid w:val="00722C74"/>
    <w:rsid w:val="00915E6C"/>
    <w:rsid w:val="009E78AD"/>
    <w:rsid w:val="00B35B80"/>
    <w:rsid w:val="00F8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48AC"/>
  <w15:docId w15:val="{3FE53C84-B036-4110-A95A-5E83BB33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E51D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E51D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1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A74"/>
  </w:style>
  <w:style w:type="paragraph" w:styleId="Pieddepage">
    <w:name w:val="footer"/>
    <w:basedOn w:val="Normal"/>
    <w:link w:val="PieddepageCar"/>
    <w:uiPriority w:val="99"/>
    <w:unhideWhenUsed/>
    <w:rsid w:val="0001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microbiologie-clinique.com/antibiogramm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robiologie-clinique.com/identification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2023-05-12T10:21:00Z</dcterms:created>
  <dcterms:modified xsi:type="dcterms:W3CDTF">2023-05-12T10:21:00Z</dcterms:modified>
</cp:coreProperties>
</file>