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Ind w:w="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383"/>
        <w:gridCol w:w="1275"/>
        <w:gridCol w:w="4916"/>
      </w:tblGrid>
      <w:tr w:rsidR="00B42331" w:rsidRPr="001A7F25" w:rsidTr="001A7F25">
        <w:tc>
          <w:tcPr>
            <w:tcW w:w="10574" w:type="dxa"/>
            <w:gridSpan w:val="3"/>
          </w:tcPr>
          <w:p w:rsidR="00B42331" w:rsidRPr="001A7F25" w:rsidRDefault="00B42331" w:rsidP="002D5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1A7F2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وزارة التعليم العالي والبحث العلمي                                                </w:t>
            </w:r>
            <w:r w:rsidR="002D59AC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6A109F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6412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D59AC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جامعة الشهيد حم</w:t>
            </w:r>
            <w:r w:rsidR="00223526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ّ</w:t>
            </w:r>
            <w:r w:rsidR="002D59AC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ه لخضر</w:t>
            </w:r>
            <w:r w:rsidR="00223526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A7F2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الوادي</w:t>
            </w:r>
          </w:p>
        </w:tc>
      </w:tr>
      <w:tr w:rsidR="00B42331" w:rsidRPr="001A7F25" w:rsidTr="001A7F25">
        <w:tc>
          <w:tcPr>
            <w:tcW w:w="10574" w:type="dxa"/>
            <w:gridSpan w:val="3"/>
          </w:tcPr>
          <w:p w:rsidR="00B42331" w:rsidRPr="001A7F25" w:rsidRDefault="005D6CE9" w:rsidP="00F25961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معهد العلوم الإسلامية                                                                                          </w:t>
            </w:r>
            <w:r w:rsidR="00B42331" w:rsidRPr="001A7F2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السنة الجامعية:</w:t>
            </w:r>
            <w:r w:rsidR="005B4CD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0350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2021</w:t>
            </w:r>
            <w:r w:rsidR="00B42331" w:rsidRPr="001A7F2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/</w:t>
            </w:r>
            <w:r w:rsidR="00180350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2022م</w:t>
            </w:r>
          </w:p>
          <w:p w:rsidR="00B42331" w:rsidRPr="001A7F25" w:rsidRDefault="00C4525E" w:rsidP="005D6CE9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6CE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قسم أصول الدين</w:t>
            </w:r>
            <w:r w:rsidR="00B42331" w:rsidRPr="001A7F2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</w:t>
            </w:r>
            <w:r w:rsidR="0079016A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5D6CE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5676B7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2331" w:rsidRPr="001A7F2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السنة </w:t>
            </w:r>
            <w:r w:rsidR="0079016A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الثا</w:t>
            </w:r>
            <w:r w:rsidR="00D3413C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لثة كتاب وسنة</w:t>
            </w:r>
          </w:p>
        </w:tc>
      </w:tr>
      <w:tr w:rsidR="00B42331" w:rsidRPr="001A7F25" w:rsidTr="001A7F25">
        <w:tc>
          <w:tcPr>
            <w:tcW w:w="10574" w:type="dxa"/>
            <w:gridSpan w:val="3"/>
          </w:tcPr>
          <w:p w:rsidR="00B42331" w:rsidRPr="00D51069" w:rsidRDefault="00E50460" w:rsidP="0079016A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الإجابة النموذجية ل</w:t>
            </w:r>
            <w:r w:rsidR="00B42331" w:rsidRPr="00D5106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امتحان السداسي </w:t>
            </w:r>
            <w:r w:rsidR="00223526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الأوّل</w:t>
            </w:r>
            <w:r w:rsidR="00B42331" w:rsidRPr="00D5106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في مقياس</w:t>
            </w:r>
            <w:r w:rsidR="00180350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:</w:t>
            </w:r>
            <w:r w:rsidR="00B42331" w:rsidRPr="00D5106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446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الجرح والتعديل.</w:t>
            </w:r>
          </w:p>
        </w:tc>
      </w:tr>
      <w:tr w:rsidR="00B42331" w:rsidRPr="001A7F25" w:rsidTr="001A7F25">
        <w:tc>
          <w:tcPr>
            <w:tcW w:w="10574" w:type="dxa"/>
            <w:gridSpan w:val="3"/>
          </w:tcPr>
          <w:p w:rsidR="00606BD8" w:rsidRDefault="00C4525E" w:rsidP="00E50460">
            <w:pPr>
              <w:spacing w:after="0" w:line="240" w:lineRule="auto"/>
              <w:jc w:val="lowKashida"/>
              <w:rPr>
                <w:rFonts w:ascii="Times New Roman" w:hAnsi="Times New Roman" w:cs="Traditional Arabic"/>
                <w:color w:val="000000"/>
                <w:sz w:val="30"/>
                <w:szCs w:val="30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9016A">
              <w:rPr>
                <w:rFonts w:ascii="Times New Roman" w:hAnsi="Times New Roman" w:cs="Traditional Arabic" w:hint="cs"/>
                <w:color w:val="000000"/>
                <w:sz w:val="30"/>
                <w:szCs w:val="30"/>
                <w:rtl/>
              </w:rPr>
              <w:t xml:space="preserve">   </w:t>
            </w:r>
          </w:p>
          <w:p w:rsidR="0068180C" w:rsidRPr="00E50460" w:rsidRDefault="00606BD8" w:rsidP="00E50460">
            <w:p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color w:val="000000"/>
                <w:sz w:val="30"/>
                <w:szCs w:val="30"/>
                <w:rtl/>
              </w:rPr>
              <w:t xml:space="preserve">        </w:t>
            </w:r>
            <w:r w:rsidR="0079016A">
              <w:rPr>
                <w:rFonts w:ascii="Times New Roman" w:hAnsi="Times New Roman" w:cs="Traditional Arabic" w:hint="cs"/>
                <w:color w:val="000000"/>
                <w:sz w:val="30"/>
                <w:szCs w:val="30"/>
                <w:rtl/>
              </w:rPr>
              <w:t xml:space="preserve">  </w:t>
            </w:r>
            <w:r w:rsidR="00C4525E" w:rsidRPr="0068180C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>ال</w:t>
            </w:r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>جواب</w:t>
            </w:r>
            <w:r w:rsidR="00C4525E" w:rsidRPr="0068180C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 xml:space="preserve"> الأول</w:t>
            </w:r>
            <w:r w:rsidR="00C4525E" w:rsidRPr="00223526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:</w:t>
            </w:r>
            <w:r w:rsidR="00C4525E" w:rsidRPr="00C4525E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79016A">
              <w:rPr>
                <w:rFonts w:ascii="Times New Roman" w:hAnsi="Times New Roman" w:cs="Traditional Arabic" w:hint="cs"/>
                <w:color w:val="000000"/>
                <w:sz w:val="30"/>
                <w:szCs w:val="30"/>
                <w:rtl/>
              </w:rPr>
              <w:t xml:space="preserve"> </w:t>
            </w:r>
          </w:p>
          <w:p w:rsidR="00C4525E" w:rsidRDefault="00223526" w:rsidP="000C5D07">
            <w:p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raditional Arabic" w:hint="cs"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                           </w:t>
            </w:r>
            <w:r w:rsidR="00855750">
              <w:rPr>
                <w:rFonts w:ascii="Times New Roman" w:hAnsi="Times New Roman" w:cs="Traditional Arabic" w:hint="cs"/>
                <w:color w:val="000000"/>
                <w:sz w:val="30"/>
                <w:szCs w:val="30"/>
                <w:rtl/>
              </w:rPr>
              <w:t xml:space="preserve"> </w:t>
            </w:r>
          </w:p>
          <w:p w:rsidR="00214742" w:rsidRPr="00E50460" w:rsidRDefault="00214742" w:rsidP="00E5046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735" w:hanging="375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</w:rPr>
            </w:pPr>
            <w:r w:rsidRPr="0045683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ع</w:t>
            </w:r>
            <w:r w:rsidR="00180350" w:rsidRPr="0045683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ُ</w:t>
            </w:r>
            <w:r w:rsidRPr="0045683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رّف</w:t>
            </w:r>
            <w:r w:rsidR="00180350" w:rsidRPr="0045683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الجرح اصطلاحا بأَنّه</w:t>
            </w:r>
            <w:r w:rsidR="00180350" w:rsidRPr="00180350">
              <w:rPr>
                <w:rFonts w:ascii="Times New Roman" w:hAnsi="Times New Roman" w:cs="Traditional Arabic" w:hint="cs"/>
                <w:color w:val="000000"/>
                <w:sz w:val="26"/>
                <w:szCs w:val="26"/>
                <w:rtl/>
              </w:rPr>
              <w:t>: "</w:t>
            </w:r>
            <w:r w:rsidR="00E50460" w:rsidRP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الج</w:t>
            </w:r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َ</w:t>
            </w:r>
            <w:r w:rsidR="00E50460" w:rsidRP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رح</w:t>
            </w:r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ُ</w:t>
            </w:r>
            <w:r w:rsidR="00E50460" w:rsidRP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وصفٌ</w:t>
            </w:r>
            <w:r w:rsidR="00E50460" w:rsidRP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متى التحق بالراوي أو الشاهد سقط الاعتبار بقوله، وبطل العمل ب</w:t>
            </w:r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روايته"</w:t>
            </w:r>
            <w:r w:rsidR="00E50460">
              <w:rPr>
                <w:rFonts w:ascii="Times New Roman" w:hAnsi="Times New Roman" w:cs="Traditional Arabic" w:hint="cs"/>
                <w:color w:val="000000"/>
                <w:sz w:val="26"/>
                <w:szCs w:val="26"/>
                <w:rtl/>
              </w:rPr>
              <w:t xml:space="preserve">          </w:t>
            </w:r>
            <w:proofErr w:type="gramStart"/>
            <w:r w:rsidR="00E50460">
              <w:rPr>
                <w:rFonts w:ascii="Times New Roman" w:hAnsi="Times New Roman" w:cs="Traditional Arabic" w:hint="cs"/>
                <w:color w:val="000000"/>
                <w:sz w:val="26"/>
                <w:szCs w:val="26"/>
                <w:rtl/>
              </w:rPr>
              <w:t xml:space="preserve">   </w:t>
            </w:r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proofErr w:type="gramEnd"/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2ن)</w:t>
            </w:r>
          </w:p>
          <w:p w:rsidR="00180350" w:rsidRDefault="00E50460" w:rsidP="001803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738" w:hanging="378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صاحب لتعريف </w:t>
            </w:r>
            <w:proofErr w:type="gramStart"/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هو:  ابن</w:t>
            </w:r>
            <w:proofErr w:type="gramEnd"/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الأثير                                                                                                         </w:t>
            </w:r>
            <w:r w:rsidR="0018035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 w:rsidR="0068180C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1.5</w:t>
            </w:r>
            <w:r w:rsidR="0018035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ن)                                                                                 </w:t>
            </w:r>
          </w:p>
          <w:p w:rsidR="00223526" w:rsidRPr="00E50460" w:rsidRDefault="00180350" w:rsidP="00E5046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738" w:hanging="378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E50460" w:rsidRP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الانتقاد الذي وجه للتعريف:</w:t>
            </w:r>
            <w:r w:rsidR="00E50460" w:rsidRPr="00E50460"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انتقد هذا التعريف بأنّه جعل كلَّ وصفٍ يقدح في الراوي يؤدي إلى سقوط روايته، وعدم الاعداد </w:t>
            </w:r>
            <w:proofErr w:type="gramStart"/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بها، </w:t>
            </w:r>
            <w:r w:rsidR="008D2361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proofErr w:type="gramEnd"/>
            <w:r w:rsidR="008D2361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والواقع النقدي يثبت أنّ كثيرا من الأوصاف القادحة في ضبط الرواة لا تسقط روايتهم.          </w:t>
            </w:r>
            <w:r w:rsidR="00223526" w:rsidRP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 w:rsidR="0068180C" w:rsidRP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  <w:r w:rsidR="00223526" w:rsidRPr="00E50460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ن)</w:t>
            </w:r>
          </w:p>
          <w:p w:rsidR="00D95A95" w:rsidRDefault="00606BD8" w:rsidP="00D95A95">
            <w:pPr>
              <w:spacing w:after="0" w:line="240" w:lineRule="auto"/>
              <w:ind w:left="360"/>
              <w:jc w:val="lowKashida"/>
              <w:rPr>
                <w:rFonts w:ascii="Times New Roman" w:hAnsi="Times New Roman" w:cs="Traditional Arabic"/>
                <w:color w:val="000000"/>
                <w:sz w:val="26"/>
                <w:szCs w:val="26"/>
                <w:rtl/>
              </w:rPr>
            </w:pPr>
            <w:r w:rsidRPr="00606BD8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="00D95A95" w:rsidRPr="0068180C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>ال</w:t>
            </w:r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>جو</w:t>
            </w:r>
            <w:r w:rsidR="00D95A95" w:rsidRPr="0068180C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>ا</w:t>
            </w:r>
            <w:r w:rsidR="00E50460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>ب</w:t>
            </w:r>
            <w:r w:rsidR="00D95A95" w:rsidRPr="0068180C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 xml:space="preserve"> الثاني</w:t>
            </w:r>
            <w:r w:rsidR="00D95A95" w:rsidRPr="003C1ED6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:</w:t>
            </w:r>
            <w:r w:rsidR="00D95A95" w:rsidRPr="003C1ED6">
              <w:rPr>
                <w:rFonts w:ascii="Times New Roman" w:hAnsi="Times New Roman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68180C" w:rsidRPr="003C1ED6" w:rsidRDefault="0068180C" w:rsidP="00D95A95">
            <w:pPr>
              <w:spacing w:after="0" w:line="240" w:lineRule="auto"/>
              <w:ind w:left="360"/>
              <w:jc w:val="lowKashida"/>
              <w:rPr>
                <w:rFonts w:ascii="Times New Roman" w:hAnsi="Times New Roman" w:cs="Traditional Arabic"/>
                <w:color w:val="000000"/>
                <w:sz w:val="26"/>
                <w:szCs w:val="26"/>
              </w:rPr>
            </w:pPr>
          </w:p>
          <w:p w:rsidR="00E50460" w:rsidRPr="00907852" w:rsidRDefault="00D95A95" w:rsidP="00907852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</w:rPr>
            </w:pPr>
            <w:r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عرّف الحافظ ابن حجر العدالة </w:t>
            </w:r>
            <w:proofErr w:type="gramStart"/>
            <w:r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بأنّها:</w:t>
            </w:r>
            <w:r w:rsid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"</w:t>
            </w:r>
            <w:proofErr w:type="gramEnd"/>
            <w:r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ملكة</w:t>
            </w:r>
            <w:r w:rsidR="00907852"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تحمل </w:t>
            </w:r>
            <w:r w:rsidR="00907852"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fr-FR"/>
              </w:rPr>
              <w:t>على ملازمة التقوى والمروء"</w:t>
            </w:r>
            <w:r w:rsid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fr-FR"/>
              </w:rPr>
              <w:t xml:space="preserve">         </w:t>
            </w:r>
            <w:r w:rsidR="00E50460" w:rsidRPr="00907852"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(3ن)</w:t>
            </w:r>
            <w:bookmarkStart w:id="0" w:name="_GoBack"/>
            <w:bookmarkEnd w:id="0"/>
          </w:p>
          <w:p w:rsidR="00907852" w:rsidRDefault="00D95A95" w:rsidP="00907852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لمعرفة عدالة الراوي ثلاث طرق، </w:t>
            </w:r>
            <w:r w:rsid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وهي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بإيجاز</w:t>
            </w:r>
            <w:r w:rsid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-:   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أ-</w:t>
            </w:r>
            <w:r w:rsid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اختبار الأحوال.        </w:t>
            </w:r>
            <w:r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ب-</w:t>
            </w:r>
            <w:r w:rsid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تنصيص المعدلين. </w:t>
            </w:r>
          </w:p>
          <w:p w:rsidR="00606BD8" w:rsidRDefault="00907852" w:rsidP="00907852">
            <w:pPr>
              <w:spacing w:after="0" w:line="240" w:lineRule="auto"/>
              <w:ind w:left="480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="00D95A95"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ج-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الاستفاضة. </w:t>
            </w:r>
            <w:r w:rsidR="008D2361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            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8D2361"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(3ن)</w:t>
            </w:r>
          </w:p>
          <w:p w:rsidR="00D95A95" w:rsidRPr="00907852" w:rsidRDefault="00907852" w:rsidP="00907852">
            <w:pPr>
              <w:spacing w:after="0" w:line="240" w:lineRule="auto"/>
              <w:ind w:left="480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                                                                                                     </w:t>
            </w:r>
          </w:p>
          <w:p w:rsidR="008D2361" w:rsidRDefault="00606BD8" w:rsidP="0068180C">
            <w:pPr>
              <w:spacing w:after="0" w:line="240" w:lineRule="auto"/>
              <w:ind w:left="360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606BD8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="003C1ED6" w:rsidRPr="0068180C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>ال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>جواب</w:t>
            </w:r>
            <w:r w:rsidR="003C1ED6" w:rsidRPr="0068180C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 xml:space="preserve"> الثا</w:t>
            </w:r>
            <w:r w:rsidR="00D95A95" w:rsidRPr="0068180C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u w:val="single"/>
                <w:rtl/>
              </w:rPr>
              <w:t>لث</w:t>
            </w:r>
            <w:r w:rsidR="003C1ED6" w:rsidRPr="003C1ED6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:</w:t>
            </w:r>
            <w:r w:rsidR="003C1ED6" w:rsidRPr="003C1ED6">
              <w:rPr>
                <w:rFonts w:ascii="Times New Roman" w:hAnsi="Times New Roman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D95A95" w:rsidRPr="00D95A95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من القوادح التي تقدح في عدالة الراوي: الفسق.</w:t>
            </w:r>
            <w:r w:rsidR="008D2361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</w:p>
          <w:p w:rsidR="003C1ED6" w:rsidRPr="003C1ED6" w:rsidRDefault="008D2361" w:rsidP="0068180C">
            <w:pPr>
              <w:spacing w:after="0" w:line="240" w:lineRule="auto"/>
              <w:ind w:left="360"/>
              <w:jc w:val="lowKashida"/>
              <w:rPr>
                <w:rFonts w:ascii="Times New Roman" w:hAnsi="Times New Roman" w:cs="Traditional Arabic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        </w:t>
            </w:r>
          </w:p>
          <w:p w:rsidR="00402AA2" w:rsidRPr="00D95A95" w:rsidRDefault="00907852" w:rsidP="00D95A95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تعريف</w:t>
            </w:r>
            <w:r w:rsidR="00D95A95" w:rsidRPr="00D95A95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الفسق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-</w:t>
            </w:r>
            <w:r w:rsidR="00606BD8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بإيجاز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D95A95" w:rsidRPr="00D95A95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هو: "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ارتكاب الكبيرة، أو الإصرار على الصغيرة</w:t>
            </w:r>
            <w:r w:rsidR="00D95A95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"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.  </w:t>
            </w:r>
            <w:r w:rsidR="008D2361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        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="008D2361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(2ن)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                                             </w:t>
            </w:r>
          </w:p>
          <w:p w:rsidR="00CC75D5" w:rsidRPr="00907852" w:rsidRDefault="00D95A95" w:rsidP="00D95A95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</w:rPr>
            </w:pPr>
            <w:r w:rsidRPr="0045683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للفسق </w:t>
            </w:r>
            <w:r w:rsidR="00456832" w:rsidRPr="0045683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عدّة أسباب، اذكر ثلاثة منها</w:t>
            </w:r>
            <w:r w:rsidR="00456832"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! أ-</w:t>
            </w:r>
            <w:r w:rsid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907852"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الكذب في حديث رسول الله -صلى الله عليه وسلم-.</w:t>
            </w:r>
          </w:p>
          <w:p w:rsidR="00456832" w:rsidRPr="00907852" w:rsidRDefault="00907852" w:rsidP="00456832">
            <w:pPr>
              <w:spacing w:after="0" w:line="240" w:lineRule="auto"/>
              <w:ind w:left="495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  <w:r w:rsidR="00456832"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ب-</w:t>
            </w:r>
            <w:r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التهمة بالكذب.                          </w:t>
            </w:r>
            <w:r w:rsidR="00456832"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ج-</w:t>
            </w:r>
            <w:r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البدعة. 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 </w:t>
            </w:r>
            <w:r w:rsidR="008D2361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                    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="008D2361" w:rsidRPr="00907852"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>(3ن)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                                                                   </w:t>
            </w:r>
          </w:p>
          <w:p w:rsidR="00456832" w:rsidRDefault="00456832" w:rsidP="00456832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اختلفت أنظار النقاد في قبول رواية المبتدع؛ اذكر -بإيجاز- خمسةً من آرائهم! </w:t>
            </w:r>
          </w:p>
          <w:p w:rsidR="00606BD8" w:rsidRDefault="00907852" w:rsidP="00907852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ردّ رواية المبتدع مطلقا.         </w:t>
            </w:r>
          </w:p>
          <w:p w:rsidR="00606BD8" w:rsidRPr="00606BD8" w:rsidRDefault="00606BD8" w:rsidP="00606BD8">
            <w:p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      </w:t>
            </w:r>
            <w:r w:rsidR="00907852" w:rsidRPr="00606BD8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ب- قبول رواية المبتدع مطلقا.        </w:t>
            </w:r>
          </w:p>
          <w:p w:rsidR="00CF1DF5" w:rsidRPr="00606BD8" w:rsidRDefault="00907852" w:rsidP="00606BD8">
            <w:pPr>
              <w:spacing w:after="0" w:line="240" w:lineRule="auto"/>
              <w:ind w:left="570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606BD8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ج- قبول روايتهم إذا عرفوا بالصدق.</w:t>
            </w:r>
          </w:p>
          <w:p w:rsidR="00606BD8" w:rsidRDefault="00456832" w:rsidP="0068180C">
            <w:pPr>
              <w:spacing w:after="0" w:line="240" w:lineRule="auto"/>
              <w:ind w:left="495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د-</w:t>
            </w:r>
            <w:r w:rsidR="00606BD8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قبول رواية المبتدع إذا لم يكن داعية لبدعته. </w:t>
            </w:r>
          </w:p>
          <w:p w:rsidR="00456832" w:rsidRDefault="00456832" w:rsidP="0068180C">
            <w:pPr>
              <w:spacing w:after="0" w:line="240" w:lineRule="auto"/>
              <w:ind w:left="495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ه-</w:t>
            </w:r>
            <w:r w:rsidR="00606BD8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قبول روايته إذا كانت بدعته صغرى وردُّها إذا كانت بدعته كبرى.     </w:t>
            </w: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(2.5ن</w:t>
            </w:r>
            <w:r w:rsidR="0068180C">
              <w:rPr>
                <w:rFonts w:ascii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)</w:t>
            </w:r>
          </w:p>
          <w:p w:rsidR="00456832" w:rsidRDefault="00456832" w:rsidP="00456832">
            <w:pPr>
              <w:spacing w:after="0" w:line="240" w:lineRule="auto"/>
              <w:ind w:left="495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  <w:rtl/>
              </w:rPr>
            </w:pPr>
          </w:p>
          <w:p w:rsidR="00456832" w:rsidRDefault="00456832" w:rsidP="00456832">
            <w:pPr>
              <w:spacing w:after="0" w:line="240" w:lineRule="auto"/>
              <w:ind w:left="495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  <w:rtl/>
              </w:rPr>
            </w:pPr>
          </w:p>
          <w:p w:rsidR="00456832" w:rsidRPr="00456832" w:rsidRDefault="00456832" w:rsidP="00456832">
            <w:pPr>
              <w:spacing w:after="0" w:line="240" w:lineRule="auto"/>
              <w:ind w:left="495"/>
              <w:jc w:val="lowKashida"/>
              <w:rPr>
                <w:rFonts w:ascii="Times New Roman" w:hAnsi="Times New Roman" w:cs="Traditional Arabic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223526" w:rsidRPr="001A7F25" w:rsidTr="001A7F25">
        <w:tc>
          <w:tcPr>
            <w:tcW w:w="4383" w:type="dxa"/>
            <w:vAlign w:val="center"/>
          </w:tcPr>
          <w:p w:rsidR="00B42331" w:rsidRPr="001A7F25" w:rsidRDefault="00B42331" w:rsidP="002D59AC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1A7F2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بالتوفيق</w:t>
            </w:r>
          </w:p>
        </w:tc>
        <w:tc>
          <w:tcPr>
            <w:tcW w:w="1275" w:type="dxa"/>
            <w:vAlign w:val="center"/>
          </w:tcPr>
          <w:p w:rsidR="00B42331" w:rsidRPr="001A7F25" w:rsidRDefault="00B42331" w:rsidP="00FF17F3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916" w:type="dxa"/>
            <w:vAlign w:val="center"/>
          </w:tcPr>
          <w:p w:rsidR="00B42331" w:rsidRPr="001A7F25" w:rsidRDefault="00B42331" w:rsidP="00FF1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A7F2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أستاذ المقياس: </w:t>
            </w:r>
            <w:r w:rsidR="001F7D66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223526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36468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خريف زتون</w:t>
            </w:r>
          </w:p>
        </w:tc>
      </w:tr>
    </w:tbl>
    <w:p w:rsidR="00B42331" w:rsidRPr="00C270FE" w:rsidRDefault="00B42331" w:rsidP="00C4525E">
      <w:pPr>
        <w:bidi w:val="0"/>
        <w:spacing w:line="240" w:lineRule="auto"/>
        <w:rPr>
          <w:lang w:val="fr-FR"/>
        </w:rPr>
      </w:pPr>
    </w:p>
    <w:sectPr w:rsidR="00B42331" w:rsidRPr="00C270FE" w:rsidSect="00B2573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AF" w:rsidRDefault="007E3CAF" w:rsidP="00900E6C">
      <w:pPr>
        <w:spacing w:after="0" w:line="240" w:lineRule="auto"/>
      </w:pPr>
      <w:r>
        <w:separator/>
      </w:r>
    </w:p>
  </w:endnote>
  <w:endnote w:type="continuationSeparator" w:id="0">
    <w:p w:rsidR="007E3CAF" w:rsidRDefault="007E3CAF" w:rsidP="0090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AF" w:rsidRDefault="007E3CAF" w:rsidP="00900E6C">
      <w:pPr>
        <w:spacing w:after="0" w:line="240" w:lineRule="auto"/>
      </w:pPr>
      <w:r>
        <w:separator/>
      </w:r>
    </w:p>
  </w:footnote>
  <w:footnote w:type="continuationSeparator" w:id="0">
    <w:p w:rsidR="007E3CAF" w:rsidRDefault="007E3CAF" w:rsidP="0090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785"/>
    <w:multiLevelType w:val="hybridMultilevel"/>
    <w:tmpl w:val="7DE65DBA"/>
    <w:lvl w:ilvl="0" w:tplc="8F02B5C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1E5"/>
    <w:multiLevelType w:val="hybridMultilevel"/>
    <w:tmpl w:val="9F52B03E"/>
    <w:lvl w:ilvl="0" w:tplc="F200A2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49C8"/>
    <w:multiLevelType w:val="hybridMultilevel"/>
    <w:tmpl w:val="87069910"/>
    <w:lvl w:ilvl="0" w:tplc="7464C598">
      <w:start w:val="5"/>
      <w:numFmt w:val="bullet"/>
      <w:lvlText w:val="-"/>
      <w:lvlJc w:val="left"/>
      <w:pPr>
        <w:ind w:left="660" w:hanging="360"/>
      </w:pPr>
      <w:rPr>
        <w:rFonts w:ascii="Traditional Arabic" w:eastAsia="Times New Roman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F126399"/>
    <w:multiLevelType w:val="hybridMultilevel"/>
    <w:tmpl w:val="A564719A"/>
    <w:lvl w:ilvl="0" w:tplc="457C14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4322"/>
    <w:multiLevelType w:val="hybridMultilevel"/>
    <w:tmpl w:val="E848A54E"/>
    <w:lvl w:ilvl="0" w:tplc="E632B0FA">
      <w:start w:val="1"/>
      <w:numFmt w:val="bullet"/>
      <w:lvlText w:val="-"/>
      <w:lvlJc w:val="left"/>
      <w:pPr>
        <w:ind w:left="810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F0F33BD"/>
    <w:multiLevelType w:val="hybridMultilevel"/>
    <w:tmpl w:val="3832458C"/>
    <w:lvl w:ilvl="0" w:tplc="E3CA6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E589D"/>
    <w:multiLevelType w:val="hybridMultilevel"/>
    <w:tmpl w:val="800CC93C"/>
    <w:lvl w:ilvl="0" w:tplc="92181754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7650"/>
    <w:multiLevelType w:val="hybridMultilevel"/>
    <w:tmpl w:val="01822044"/>
    <w:lvl w:ilvl="0" w:tplc="15302BC8">
      <w:start w:val="1"/>
      <w:numFmt w:val="arabicAlpha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C17D2"/>
    <w:multiLevelType w:val="hybridMultilevel"/>
    <w:tmpl w:val="233AE03A"/>
    <w:lvl w:ilvl="0" w:tplc="DE1C9C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C717C"/>
    <w:multiLevelType w:val="hybridMultilevel"/>
    <w:tmpl w:val="D0909D16"/>
    <w:lvl w:ilvl="0" w:tplc="AC20D728">
      <w:start w:val="1"/>
      <w:numFmt w:val="arabicAlpha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4EFF441C"/>
    <w:multiLevelType w:val="hybridMultilevel"/>
    <w:tmpl w:val="71B6BC30"/>
    <w:lvl w:ilvl="0" w:tplc="F126DD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A7E2C"/>
    <w:multiLevelType w:val="hybridMultilevel"/>
    <w:tmpl w:val="C40CAAA6"/>
    <w:lvl w:ilvl="0" w:tplc="55145D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25F66"/>
    <w:multiLevelType w:val="hybridMultilevel"/>
    <w:tmpl w:val="AD669B98"/>
    <w:lvl w:ilvl="0" w:tplc="6890B7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E05DE"/>
    <w:multiLevelType w:val="hybridMultilevel"/>
    <w:tmpl w:val="E93EAFE8"/>
    <w:lvl w:ilvl="0" w:tplc="15E44FB2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3FA3E78"/>
    <w:multiLevelType w:val="hybridMultilevel"/>
    <w:tmpl w:val="7E0C1FAE"/>
    <w:lvl w:ilvl="0" w:tplc="A8EE1BB0">
      <w:start w:val="3"/>
      <w:numFmt w:val="bullet"/>
      <w:lvlText w:val="-"/>
      <w:lvlJc w:val="left"/>
      <w:pPr>
        <w:ind w:left="73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6B5A31AF"/>
    <w:multiLevelType w:val="hybridMultilevel"/>
    <w:tmpl w:val="F228701E"/>
    <w:lvl w:ilvl="0" w:tplc="A9D85DEA">
      <w:start w:val="1"/>
      <w:numFmt w:val="arabicAlpha"/>
      <w:lvlText w:val="%1-"/>
      <w:lvlJc w:val="left"/>
      <w:pPr>
        <w:ind w:left="720" w:hanging="72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6745B8"/>
    <w:multiLevelType w:val="hybridMultilevel"/>
    <w:tmpl w:val="27067C4C"/>
    <w:lvl w:ilvl="0" w:tplc="04D49500">
      <w:start w:val="1"/>
      <w:numFmt w:val="decimal"/>
      <w:lvlText w:val="%1-"/>
      <w:lvlJc w:val="left"/>
      <w:pPr>
        <w:ind w:left="8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7D1D08E4"/>
    <w:multiLevelType w:val="hybridMultilevel"/>
    <w:tmpl w:val="43604892"/>
    <w:lvl w:ilvl="0" w:tplc="F7A658D4">
      <w:start w:val="1"/>
      <w:numFmt w:val="arabicAlpha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F54098B"/>
    <w:multiLevelType w:val="hybridMultilevel"/>
    <w:tmpl w:val="C87CB556"/>
    <w:lvl w:ilvl="0" w:tplc="0F52034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8"/>
  </w:num>
  <w:num w:numId="7">
    <w:abstractNumId w:val="15"/>
  </w:num>
  <w:num w:numId="8">
    <w:abstractNumId w:val="2"/>
  </w:num>
  <w:num w:numId="9">
    <w:abstractNumId w:val="14"/>
  </w:num>
  <w:num w:numId="10">
    <w:abstractNumId w:val="0"/>
  </w:num>
  <w:num w:numId="11">
    <w:abstractNumId w:val="11"/>
  </w:num>
  <w:num w:numId="12">
    <w:abstractNumId w:val="8"/>
  </w:num>
  <w:num w:numId="13">
    <w:abstractNumId w:val="7"/>
  </w:num>
  <w:num w:numId="14">
    <w:abstractNumId w:val="9"/>
  </w:num>
  <w:num w:numId="15">
    <w:abstractNumId w:val="4"/>
  </w:num>
  <w:num w:numId="16">
    <w:abstractNumId w:val="5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331"/>
    <w:rsid w:val="0006675C"/>
    <w:rsid w:val="00076412"/>
    <w:rsid w:val="000A08FE"/>
    <w:rsid w:val="000C257A"/>
    <w:rsid w:val="000C5D07"/>
    <w:rsid w:val="001127F8"/>
    <w:rsid w:val="0011558C"/>
    <w:rsid w:val="001402F4"/>
    <w:rsid w:val="001668CC"/>
    <w:rsid w:val="00180350"/>
    <w:rsid w:val="001A7F25"/>
    <w:rsid w:val="001F7D66"/>
    <w:rsid w:val="00214742"/>
    <w:rsid w:val="00223526"/>
    <w:rsid w:val="002C6011"/>
    <w:rsid w:val="002D59AC"/>
    <w:rsid w:val="00364685"/>
    <w:rsid w:val="003B07DF"/>
    <w:rsid w:val="003C1ED6"/>
    <w:rsid w:val="003D3962"/>
    <w:rsid w:val="003E0756"/>
    <w:rsid w:val="003E1C9E"/>
    <w:rsid w:val="00402AA2"/>
    <w:rsid w:val="00456832"/>
    <w:rsid w:val="00471CC9"/>
    <w:rsid w:val="004970BC"/>
    <w:rsid w:val="00532B85"/>
    <w:rsid w:val="005377C4"/>
    <w:rsid w:val="005676B7"/>
    <w:rsid w:val="005B22EE"/>
    <w:rsid w:val="005B4CD4"/>
    <w:rsid w:val="005D6CE9"/>
    <w:rsid w:val="00606BD8"/>
    <w:rsid w:val="0062212B"/>
    <w:rsid w:val="0068180C"/>
    <w:rsid w:val="00690AC4"/>
    <w:rsid w:val="006A109F"/>
    <w:rsid w:val="006F5A09"/>
    <w:rsid w:val="00742E45"/>
    <w:rsid w:val="0079016A"/>
    <w:rsid w:val="007C5A6A"/>
    <w:rsid w:val="007D4CC9"/>
    <w:rsid w:val="007E3CAF"/>
    <w:rsid w:val="007E4468"/>
    <w:rsid w:val="008374DF"/>
    <w:rsid w:val="00840A09"/>
    <w:rsid w:val="00855750"/>
    <w:rsid w:val="008621F6"/>
    <w:rsid w:val="00864771"/>
    <w:rsid w:val="008D2361"/>
    <w:rsid w:val="00900E6C"/>
    <w:rsid w:val="00907852"/>
    <w:rsid w:val="00973F78"/>
    <w:rsid w:val="009B793F"/>
    <w:rsid w:val="00A22D53"/>
    <w:rsid w:val="00B16C1D"/>
    <w:rsid w:val="00B2573C"/>
    <w:rsid w:val="00B32402"/>
    <w:rsid w:val="00B42331"/>
    <w:rsid w:val="00BB15C9"/>
    <w:rsid w:val="00BF3A41"/>
    <w:rsid w:val="00C04A8B"/>
    <w:rsid w:val="00C4525E"/>
    <w:rsid w:val="00C5294E"/>
    <w:rsid w:val="00CC75D5"/>
    <w:rsid w:val="00CF1DF5"/>
    <w:rsid w:val="00CF4BBE"/>
    <w:rsid w:val="00D3413C"/>
    <w:rsid w:val="00D51069"/>
    <w:rsid w:val="00D73B06"/>
    <w:rsid w:val="00D924F3"/>
    <w:rsid w:val="00D95A95"/>
    <w:rsid w:val="00DA7B20"/>
    <w:rsid w:val="00DC2362"/>
    <w:rsid w:val="00DC2A33"/>
    <w:rsid w:val="00E26504"/>
    <w:rsid w:val="00E50460"/>
    <w:rsid w:val="00EF25FC"/>
    <w:rsid w:val="00EF4CAF"/>
    <w:rsid w:val="00F25961"/>
    <w:rsid w:val="00F957CA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18C5"/>
  <w15:docId w15:val="{21D89E1C-310F-4CD1-8238-289A1B8B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1F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331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rsid w:val="00900E6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">
    <w:name w:val="نص حاشية سفلية Char"/>
    <w:link w:val="a4"/>
    <w:rsid w:val="00900E6C"/>
    <w:rPr>
      <w:rFonts w:ascii="Times New Roman" w:hAnsi="Times New Roman" w:cs="Times New Roman"/>
    </w:rPr>
  </w:style>
  <w:style w:type="character" w:styleId="a5">
    <w:name w:val="footnote reference"/>
    <w:uiPriority w:val="99"/>
    <w:rsid w:val="00900E6C"/>
    <w:rPr>
      <w:vertAlign w:val="superscript"/>
    </w:rPr>
  </w:style>
  <w:style w:type="paragraph" w:styleId="a6">
    <w:name w:val="List Paragraph"/>
    <w:basedOn w:val="a"/>
    <w:uiPriority w:val="34"/>
    <w:qFormat/>
    <w:rsid w:val="005D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hassan</cp:lastModifiedBy>
  <cp:revision>12</cp:revision>
  <cp:lastPrinted>2022-01-22T09:43:00Z</cp:lastPrinted>
  <dcterms:created xsi:type="dcterms:W3CDTF">2018-05-06T11:14:00Z</dcterms:created>
  <dcterms:modified xsi:type="dcterms:W3CDTF">2022-01-22T09:46:00Z</dcterms:modified>
</cp:coreProperties>
</file>