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7" w:rsidRDefault="00180DC7">
      <w:pPr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180DC7" w:rsidRDefault="003B5F66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65pt;margin-top:-2.8pt;width:450.5pt;height:131.65pt;z-index:251658240">
            <v:textbox>
              <w:txbxContent>
                <w:p w:rsidR="00062D8A" w:rsidRPr="0008412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rtl/>
                      <w:lang w:bidi="ar-DZ"/>
                    </w:rPr>
                  </w:pPr>
                  <w:proofErr w:type="spellStart"/>
                  <w:proofErr w:type="gramStart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>المحاضرة</w:t>
                  </w:r>
                  <w:proofErr w:type="gramEnd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>:</w:t>
                  </w:r>
                  <w:proofErr w:type="spellEnd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 xml:space="preserve"> 6</w:t>
                  </w:r>
                </w:p>
                <w:p w:rsidR="00062D8A" w:rsidRPr="0008412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>المدرسة</w:t>
                  </w:r>
                  <w:proofErr w:type="gramEnd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 xml:space="preserve"> الوظيفية الفرنسية</w:t>
                  </w:r>
                </w:p>
                <w:p w:rsidR="00062D8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rtl/>
                      <w:lang w:bidi="ar-DZ"/>
                    </w:rPr>
                  </w:pPr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 xml:space="preserve">أندريه </w:t>
                  </w:r>
                  <w:proofErr w:type="spellStart"/>
                  <w:r w:rsidRPr="0008412A">
                    <w:rPr>
                      <w:rFonts w:cs="Al-Samsam" w:hint="cs"/>
                      <w:sz w:val="36"/>
                      <w:szCs w:val="36"/>
                      <w:rtl/>
                      <w:lang w:bidi="ar-DZ"/>
                    </w:rPr>
                    <w:t>مارتنيه</w:t>
                  </w:r>
                  <w:proofErr w:type="spellEnd"/>
                </w:p>
                <w:p w:rsidR="00062D8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rtl/>
                      <w:lang w:bidi="ar-DZ"/>
                    </w:rPr>
                  </w:pPr>
                </w:p>
                <w:p w:rsidR="00062D8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rtl/>
                      <w:lang w:bidi="ar-DZ"/>
                    </w:rPr>
                  </w:pPr>
                </w:p>
                <w:p w:rsidR="00062D8A" w:rsidRPr="0008412A" w:rsidRDefault="00062D8A" w:rsidP="00062D8A">
                  <w:pPr>
                    <w:jc w:val="center"/>
                    <w:rPr>
                      <w:rFonts w:cs="Al-Samsam"/>
                      <w:sz w:val="36"/>
                      <w:szCs w:val="36"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062D8A" w:rsidRDefault="00062D8A">
      <w:pP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</w:p>
    <w:p w:rsidR="00062D8A" w:rsidRDefault="00062D8A">
      <w:pP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</w:p>
    <w:p w:rsidR="00062D8A" w:rsidRDefault="00062D8A">
      <w:pP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</w:p>
    <w:p w:rsidR="00180DC7" w:rsidRPr="00E71DA3" w:rsidRDefault="00CD278D" w:rsidP="00062D8A">
      <w:pPr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    </w:t>
      </w:r>
      <w:r w:rsidR="00180DC7"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أندريه </w:t>
      </w:r>
      <w:proofErr w:type="spellStart"/>
      <w:r w:rsidR="00180DC7"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مارتنيه</w:t>
      </w:r>
      <w:proofErr w:type="spellEnd"/>
      <w:r w:rsidR="00180DC7"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: </w:t>
      </w:r>
    </w:p>
    <w:p w:rsidR="00180DC7" w:rsidRPr="00E71DA3" w:rsidRDefault="00173608" w:rsidP="00062D8A">
      <w:pPr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</w:t>
      </w:r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ولد أندريه </w:t>
      </w:r>
      <w:proofErr w:type="spellStart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مارتنيه</w:t>
      </w:r>
      <w:proofErr w:type="spellEnd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سنة 1908 في سان ألبان </w:t>
      </w:r>
      <w:proofErr w:type="spellStart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دي</w:t>
      </w:r>
      <w:proofErr w:type="spellEnd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فيلار</w:t>
      </w:r>
      <w:proofErr w:type="spellEnd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بمنطقة </w:t>
      </w:r>
      <w:proofErr w:type="spellStart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السافوا</w:t>
      </w:r>
      <w:proofErr w:type="spellEnd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الفرنسية،</w:t>
      </w:r>
      <w:proofErr w:type="spellEnd"/>
      <w:r w:rsidR="00180DC7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وهو يعتبر من لمع علماء الألسنية المعاصرين و رائد المدرسة الألسنية الوظيفية.</w:t>
      </w:r>
    </w:p>
    <w:p w:rsidR="00180DC7" w:rsidRPr="00E71DA3" w:rsidRDefault="00180DC7" w:rsidP="00062D8A">
      <w:pPr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ومنذ عام 1938 ولغاية 1995 وجَه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مارتنيه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تدريس مادة الألسنية العامة في المعهد التطبيقي للدراسات العليا في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باريس،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وفي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السوربون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 وقد اضطلع بالمسؤولية نفسها من العام 1955 و لغاية عام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1977،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إلى ذلك أحيا أندريه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مارتنيه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قسم الألسنية في جامعة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كلومبيا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الولايات المتحدة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الأمريكية،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وقد مارس التعليم الجامعي في كل من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أكسفورد،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برنستون،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طوكيو...وتخلد جامعات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لوفون،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تركو،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فالبريزو،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لياج،</w:t>
      </w:r>
      <w:proofErr w:type="spellEnd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فريبورغ</w:t>
      </w:r>
      <w:proofErr w:type="spellEnd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إن </w:t>
      </w:r>
      <w:proofErr w:type="spellStart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بريسغو،</w:t>
      </w:r>
      <w:proofErr w:type="spellEnd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</w:t>
      </w:r>
      <w:proofErr w:type="spellStart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بيلبارو،</w:t>
      </w:r>
      <w:proofErr w:type="spellEnd"/>
      <w:r w:rsidR="00DD1780"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صيته في هذا المجال.</w:t>
      </w:r>
    </w:p>
    <w:p w:rsidR="00DD1780" w:rsidRPr="00E71DA3" w:rsidRDefault="00DD1780" w:rsidP="00062D8A">
      <w:pPr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إن تطور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فكره،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الذي سرعان ما اتخذ بعدا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عالميا،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يعود إلى حد كبير لعلائق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الصداقة،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بل للاهتمامات العلمية التي ربطته بكل من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هيلمسليف،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تروبتسكوي،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جاكوبسن،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وغيرهم. و هو يفضل النظرة الوظيفية و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>الدينامية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لوقائع اللغة الإنسانية و ألسنتها المتحققة على ما سواها.</w:t>
      </w:r>
    </w:p>
    <w:p w:rsidR="00DD1780" w:rsidRPr="00E71DA3" w:rsidRDefault="00DD1780" w:rsidP="00062D8A">
      <w:pPr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أهم آراء أندريه </w:t>
      </w:r>
      <w:proofErr w:type="spellStart"/>
      <w:r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مارتنيه</w:t>
      </w:r>
      <w:proofErr w:type="spellEnd"/>
      <w:r w:rsidRPr="00E71DA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DD1780" w:rsidRPr="00E71DA3" w:rsidRDefault="00DD1780" w:rsidP="00062D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val="fr-FR"/>
        </w:rPr>
      </w:pPr>
      <w:r w:rsidRPr="00E71DA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 xml:space="preserve">وظيفة اللّغة </w:t>
      </w:r>
      <w:r w:rsidRPr="00E71DA3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lang w:val="fr-FR" w:bidi="ar-DZ"/>
        </w:rPr>
        <w:t>la fonction de la langue</w:t>
      </w:r>
      <w:r w:rsidRPr="00E71DA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:</w:t>
      </w:r>
    </w:p>
    <w:p w:rsidR="00DD1780" w:rsidRPr="00062D8A" w:rsidRDefault="00DD1780" w:rsidP="00062D8A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 </w:t>
      </w: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  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يعدّ "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مارتينيه"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الوظيفة التواصلية الوظيفة الأساسية للغة في المجتمع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اللّغوي،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وهذه الوظيفة تؤديها اللّغة باعتبارها مؤسسة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إنسانية،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رغم اختلاف بنيتها من مجتمع لغوي على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آخر،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فهي الوظيفة الجوهرية للغة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عنده،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ولكنه لا ينفي بقية الوظائف التي تؤديها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اللّغة،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بل يقرّ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بها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ويعتبرها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ثانوية،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كما يرى أن اللّغة ليست نسخاً للأشياء ونقلاً آليا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لها،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بل هي بُنى منظمة ومتراصة ومتكاملة يتطلّع المتكلم من خلالها إلى عالم الأشياء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والأحاسيس،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وهو ما ينتج الخبرة الإنسانية فتعلُّم لغة أجنبية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مثلاً،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لا يعني وضع علامات 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lastRenderedPageBreak/>
        <w:t xml:space="preserve">جديدة للأشياء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المألوفة،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وإنّما هو اكتساب نظرة تحليلية مغايرة بالتعرف على بُنى لغوية تعكس الواقع بطريقة مختلفة عن اللّغة الأم</w:t>
      </w:r>
      <w:r w:rsidRPr="00062D8A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DD1780" w:rsidRPr="00CD278D" w:rsidRDefault="00DD1780" w:rsidP="00062D8A">
      <w:pPr>
        <w:pStyle w:val="Paragraphedeliste"/>
        <w:numPr>
          <w:ilvl w:val="0"/>
          <w:numId w:val="1"/>
        </w:numPr>
        <w:jc w:val="both"/>
        <w:rPr>
          <w:rFonts w:ascii="Sakkal Majalla" w:hAnsi="Sakkal Majalla" w:cs="Sakkal Majalla"/>
          <w:b/>
          <w:bCs/>
          <w:sz w:val="40"/>
          <w:szCs w:val="40"/>
          <w:u w:val="single"/>
        </w:rPr>
      </w:pPr>
      <w:proofErr w:type="gramStart"/>
      <w:r w:rsidRPr="00CD278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التقطيع</w:t>
      </w:r>
      <w:proofErr w:type="gramEnd"/>
      <w:r w:rsidRPr="00CD278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المزدوج:</w:t>
      </w:r>
      <w:r w:rsidR="00802E4C" w:rsidRPr="00CD278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</w:t>
      </w:r>
    </w:p>
    <w:p w:rsidR="00802E4C" w:rsidRPr="00E71DA3" w:rsidRDefault="00802E4C" w:rsidP="00062D8A">
      <w:pPr>
        <w:pStyle w:val="Paragraphedeliste"/>
        <w:ind w:left="643"/>
        <w:jc w:val="both"/>
        <w:rPr>
          <w:rFonts w:ascii="Sakkal Majalla" w:hAnsi="Sakkal Majalla" w:cs="Sakkal Majalla"/>
          <w:sz w:val="36"/>
          <w:szCs w:val="36"/>
          <w:rtl/>
        </w:rPr>
      </w:pPr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إن اللغات البشرية تتكون من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مفاصل،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أو بعبارة أخرى يمكن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تقطيعها،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وهذا تختص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به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كل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الألسنة،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و يرى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مارتنيه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أن ذلك التقطيع يمكن ملاحظته وتوضيحه من خلال مستويين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rtl/>
        </w:rPr>
        <w:t>مختلفين: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إن كل الوحدات التي تنجم</w:t>
      </w:r>
      <w:r w:rsidR="00A025D4" w:rsidRPr="00E71DA3">
        <w:rPr>
          <w:rFonts w:ascii="Sakkal Majalla" w:hAnsi="Sakkal Majalla" w:cs="Sakkal Majalla" w:hint="cs"/>
          <w:sz w:val="36"/>
          <w:szCs w:val="36"/>
          <w:rtl/>
        </w:rPr>
        <w:t xml:space="preserve">  عن التقطيع الأول هي في الواقع مكونة بدورها من وحدات ذات مفاصل من ضرب آخر</w:t>
      </w:r>
      <w:r w:rsidR="00E71DA3" w:rsidRPr="00E71DA3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E71DA3" w:rsidRDefault="00E71DA3" w:rsidP="00062D8A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E71DA3">
        <w:rPr>
          <w:rFonts w:ascii="Sakkal Majalla" w:hAnsi="Sakkal Majalla" w:cs="Sakkal Majalla" w:hint="cs"/>
          <w:sz w:val="36"/>
          <w:szCs w:val="36"/>
          <w:u w:val="single"/>
          <w:rtl/>
        </w:rPr>
        <w:t>التقطيع</w:t>
      </w:r>
      <w:proofErr w:type="gramEnd"/>
      <w:r w:rsidRPr="00E71DA3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 </w:t>
      </w:r>
      <w:proofErr w:type="spellStart"/>
      <w:r w:rsidRPr="00E71DA3">
        <w:rPr>
          <w:rFonts w:ascii="Sakkal Majalla" w:hAnsi="Sakkal Majalla" w:cs="Sakkal Majalla" w:hint="cs"/>
          <w:sz w:val="36"/>
          <w:szCs w:val="36"/>
          <w:u w:val="single"/>
          <w:rtl/>
        </w:rPr>
        <w:t>الأول</w:t>
      </w:r>
      <w:r w:rsidRPr="00E71DA3"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spellEnd"/>
      <w:r w:rsidRPr="00E71DA3">
        <w:rPr>
          <w:rFonts w:ascii="Sakkal Majalla" w:hAnsi="Sakkal Majalla" w:cs="Sakkal Majalla" w:hint="cs"/>
          <w:sz w:val="36"/>
          <w:szCs w:val="36"/>
          <w:rtl/>
        </w:rPr>
        <w:t xml:space="preserve"> هو ذلك الذي يقوم على أن كل ظاهرة من ظواهر التجربة البشرية نريد تبليغها أو كل حاجة من حوائجنا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نود تعريف غيرنا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بها،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تحلل إلى متوالية من الوحدات لكل منها صورة صوتية و معنى. إن كنت أشعر بالصداع يمكنني أيضا أن أعمد للصراخ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حتى يعرف من حولي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ألمي،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لكن هذا وحده لا يكفي لجعله تبليغا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لسانيا،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فهو غير قابل للتحليل لأنه يطابق مجموع الاحساس بالألم غير القابل للتحليل. وخلاف هذا تلفظي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بجملة: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يوجعني رأسي. فهي وحدات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أربع: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>يوجع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-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>ني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 w:rsidR="00771CE4">
        <w:rPr>
          <w:rFonts w:ascii="Sakkal Majalla" w:hAnsi="Sakkal Majalla" w:cs="Sakkal Majalla"/>
          <w:sz w:val="36"/>
          <w:szCs w:val="36"/>
          <w:rtl/>
        </w:rPr>
        <w:t>–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>رأس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proofErr w:type="gramStart"/>
      <w:r w:rsidR="00771CE4">
        <w:rPr>
          <w:rFonts w:ascii="Sakkal Majalla" w:hAnsi="Sakkal Majalla" w:cs="Sakkal Majalla" w:hint="cs"/>
          <w:sz w:val="36"/>
          <w:szCs w:val="36"/>
          <w:rtl/>
        </w:rPr>
        <w:t>-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>ي</w:t>
      </w:r>
      <w:proofErr w:type="gram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.ف </w:t>
      </w:r>
      <w:proofErr w:type="gramStart"/>
      <w:r w:rsidR="00771CE4">
        <w:rPr>
          <w:rFonts w:ascii="Sakkal Majalla" w:hAnsi="Sakkal Majalla" w:cs="Sakkal Majalla" w:hint="cs"/>
          <w:sz w:val="36"/>
          <w:szCs w:val="36"/>
          <w:rtl/>
        </w:rPr>
        <w:t>كل</w:t>
      </w:r>
      <w:proofErr w:type="gram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واحدة من هذه الوحدات يمكن أن توجد في سياق آخر مغاير تماما لتبليغ ظواهر أخرى من التجربة البشرية. </w:t>
      </w:r>
      <w:proofErr w:type="spellStart"/>
      <w:proofErr w:type="gramStart"/>
      <w:r w:rsidR="00771CE4">
        <w:rPr>
          <w:rFonts w:ascii="Sakkal Majalla" w:hAnsi="Sakkal Majalla" w:cs="Sakkal Majalla" w:hint="cs"/>
          <w:sz w:val="36"/>
          <w:szCs w:val="36"/>
          <w:rtl/>
        </w:rPr>
        <w:t>مثال</w:t>
      </w:r>
      <w:proofErr w:type="gramEnd"/>
      <w:r w:rsidR="00771CE4"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توجع 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فلان مما نزل بصاحبه.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ونقول:</w:t>
      </w:r>
      <w:proofErr w:type="spellEnd"/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71CE4" w:rsidRPr="00771CE4">
        <w:rPr>
          <w:rFonts w:ascii="Sakkal Majalla" w:hAnsi="Sakkal Majalla" w:cs="Sakkal Majalla" w:hint="cs"/>
          <w:b/>
          <w:bCs/>
          <w:sz w:val="36"/>
          <w:szCs w:val="36"/>
          <w:rtl/>
        </w:rPr>
        <w:t>رأس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 xml:space="preserve"> القوم. وغيرها من </w:t>
      </w:r>
      <w:proofErr w:type="spellStart"/>
      <w:r w:rsidR="00771CE4">
        <w:rPr>
          <w:rFonts w:ascii="Sakkal Majalla" w:hAnsi="Sakkal Majalla" w:cs="Sakkal Majalla" w:hint="cs"/>
          <w:sz w:val="36"/>
          <w:szCs w:val="36"/>
          <w:rtl/>
        </w:rPr>
        <w:t>الاستخدام</w:t>
      </w:r>
      <w:r w:rsidR="00C34D18">
        <w:rPr>
          <w:rFonts w:ascii="Sakkal Majalla" w:hAnsi="Sakkal Majalla" w:cs="Sakkal Majalla" w:hint="cs"/>
          <w:sz w:val="36"/>
          <w:szCs w:val="36"/>
          <w:rtl/>
        </w:rPr>
        <w:t>ات،</w:t>
      </w:r>
      <w:proofErr w:type="spellEnd"/>
      <w:r w:rsidR="00C34D18">
        <w:rPr>
          <w:rFonts w:ascii="Sakkal Majalla" w:hAnsi="Sakkal Majalla" w:cs="Sakkal Majalla" w:hint="cs"/>
          <w:sz w:val="36"/>
          <w:szCs w:val="36"/>
          <w:rtl/>
        </w:rPr>
        <w:t xml:space="preserve"> و يمثل هذا التقطيع الأول الا</w:t>
      </w:r>
      <w:r w:rsidR="00771CE4">
        <w:rPr>
          <w:rFonts w:ascii="Sakkal Majalla" w:hAnsi="Sakkal Majalla" w:cs="Sakkal Majalla" w:hint="cs"/>
          <w:sz w:val="36"/>
          <w:szCs w:val="36"/>
          <w:rtl/>
        </w:rPr>
        <w:t>قتصاد اللغوي.</w:t>
      </w:r>
    </w:p>
    <w:p w:rsidR="00771CE4" w:rsidRDefault="00771CE4" w:rsidP="00062D8A">
      <w:pPr>
        <w:ind w:left="643"/>
        <w:jc w:val="both"/>
        <w:rPr>
          <w:rFonts w:ascii="Sakkal Majalla" w:hAnsi="Sakkal Majalla" w:cs="Sakkal Majalla"/>
          <w:sz w:val="36"/>
          <w:szCs w:val="36"/>
          <w:rtl/>
        </w:rPr>
      </w:pPr>
      <w:r w:rsidRPr="00771CE4">
        <w:rPr>
          <w:rFonts w:ascii="Sakkal Majalla" w:hAnsi="Sakkal Majalla" w:cs="Sakkal Majalla" w:hint="cs"/>
          <w:sz w:val="36"/>
          <w:szCs w:val="36"/>
          <w:rtl/>
        </w:rPr>
        <w:t xml:space="preserve">  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     </w:t>
      </w:r>
      <w:r w:rsidRPr="00771CE4">
        <w:rPr>
          <w:rFonts w:ascii="Sakkal Majalla" w:hAnsi="Sakkal Majalla" w:cs="Sakkal Majalla" w:hint="cs"/>
          <w:sz w:val="36"/>
          <w:szCs w:val="36"/>
          <w:rtl/>
        </w:rPr>
        <w:t xml:space="preserve">إن التقطيع الأول هو الطريقة التي </w:t>
      </w:r>
      <w:proofErr w:type="spellStart"/>
      <w:r w:rsidRPr="00771CE4">
        <w:rPr>
          <w:rFonts w:ascii="Sakkal Majalla" w:hAnsi="Sakkal Majalla" w:cs="Sakkal Majalla" w:hint="cs"/>
          <w:sz w:val="36"/>
          <w:szCs w:val="36"/>
          <w:rtl/>
        </w:rPr>
        <w:t>بها</w:t>
      </w:r>
      <w:proofErr w:type="spellEnd"/>
      <w:r w:rsidRPr="00771CE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gramStart"/>
      <w:r w:rsidRPr="00771CE4">
        <w:rPr>
          <w:rFonts w:ascii="Sakkal Majalla" w:hAnsi="Sakkal Majalla" w:cs="Sakkal Majalla" w:hint="cs"/>
          <w:sz w:val="36"/>
          <w:szCs w:val="36"/>
          <w:rtl/>
        </w:rPr>
        <w:t>ترتب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التجربة المشتركة لدى كل أعضاء مجموعة لسانية معينة. و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إنه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لا يمكننا أن نقوم بعملية التبليغ إلا في إطار هذه التجربة و التي تكون موقوفة بالضرورة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على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ما هو مشترك بين عدد هائل من الأشخاص.</w:t>
      </w:r>
    </w:p>
    <w:p w:rsidR="00C34D18" w:rsidRDefault="00C34D18" w:rsidP="00062D8A">
      <w:pPr>
        <w:pStyle w:val="Paragraphedeliste"/>
        <w:numPr>
          <w:ilvl w:val="0"/>
          <w:numId w:val="2"/>
        </w:numPr>
        <w:jc w:val="both"/>
        <w:rPr>
          <w:rFonts w:ascii="Sakkal Majalla" w:hAnsi="Sakkal Majalla" w:cs="Sakkal Majalla"/>
          <w:sz w:val="36"/>
          <w:szCs w:val="36"/>
        </w:rPr>
      </w:pPr>
      <w:r w:rsidRPr="00C34D18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التقطيع </w:t>
      </w:r>
      <w:proofErr w:type="spellStart"/>
      <w:r w:rsidRPr="00C34D18">
        <w:rPr>
          <w:rFonts w:ascii="Sakkal Majalla" w:hAnsi="Sakkal Majalla" w:cs="Sakkal Majalla" w:hint="cs"/>
          <w:sz w:val="36"/>
          <w:szCs w:val="36"/>
          <w:u w:val="single"/>
          <w:rtl/>
        </w:rPr>
        <w:t>الثاني</w:t>
      </w:r>
      <w:r>
        <w:rPr>
          <w:rFonts w:ascii="Sakkal Majalla" w:hAnsi="Sakkal Majalla" w:cs="Sakkal Majalla" w:hint="cs"/>
          <w:sz w:val="36"/>
          <w:szCs w:val="36"/>
          <w:rtl/>
        </w:rPr>
        <w:t>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كل وحدة من وحدات ذاك التقطيع الأول تمثل كما رأينا معنى و صورة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صوتية،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و إنه لا يمكن تحليلها إلى وحدات متوالية دنيا ذات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معنى،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فمجموعة: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رأس،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تعني ذلك و لا يمكننا أن ننسب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إلى: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رأ،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و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إلى: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س  معنيين متميزين إذا جمعناهما يدلان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على: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رأس.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لكن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الصورة الصوتية قابلة للتحليل إلى متوالية من الوحدات تساهم كل واحدة منها في تمييز رأس مثلا عن وحدات أخرى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مثل: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فأس/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بأس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/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روس....وهذا ما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>نسميه</w:t>
      </w:r>
      <w:proofErr w:type="gramEnd"/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C34D18">
        <w:rPr>
          <w:rFonts w:ascii="Sakkal Majalla" w:hAnsi="Sakkal Majalla" w:cs="Sakkal Majalla" w:hint="cs"/>
          <w:b/>
          <w:bCs/>
          <w:sz w:val="36"/>
          <w:szCs w:val="36"/>
          <w:rtl/>
        </w:rPr>
        <w:t>بالتقطيع الثاني</w:t>
      </w:r>
      <w:r w:rsidR="00B12FB6">
        <w:rPr>
          <w:rFonts w:ascii="Sakkal Majalla" w:hAnsi="Sakkal Majalla" w:cs="Sakkal Majalla" w:hint="cs"/>
          <w:sz w:val="36"/>
          <w:szCs w:val="36"/>
          <w:rtl/>
        </w:rPr>
        <w:t xml:space="preserve"> للغة.</w:t>
      </w:r>
    </w:p>
    <w:p w:rsidR="00B12FB6" w:rsidRPr="00B12FB6" w:rsidRDefault="00B12FB6" w:rsidP="00062D8A">
      <w:pPr>
        <w:pStyle w:val="Paragraphedeliste"/>
        <w:ind w:left="1003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   فكلمة رأس تتألف من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ر</w:t>
      </w:r>
      <w:r w:rsidRPr="00B12FB6">
        <w:rPr>
          <w:rFonts w:ascii="Sakkal Majalla" w:hAnsi="Sakkal Majalla" w:cs="Sakkal Majalla" w:hint="cs"/>
          <w:sz w:val="36"/>
          <w:szCs w:val="36"/>
          <w:rtl/>
        </w:rPr>
        <w:t>/</w:t>
      </w:r>
      <w:proofErr w:type="spellEnd"/>
      <w:r w:rsidRPr="00B12FB6">
        <w:rPr>
          <w:rFonts w:ascii="Sakkal Majalla" w:hAnsi="Sakkal Majalla" w:cs="Sakkal Majalla" w:hint="cs"/>
          <w:sz w:val="36"/>
          <w:szCs w:val="36"/>
          <w:rtl/>
        </w:rPr>
        <w:t xml:space="preserve"> أ </w:t>
      </w:r>
      <w:proofErr w:type="spellStart"/>
      <w:r w:rsidRPr="00B12FB6">
        <w:rPr>
          <w:rFonts w:ascii="Sakkal Majalla" w:hAnsi="Sakkal Majalla" w:cs="Sakkal Majalla" w:hint="cs"/>
          <w:sz w:val="36"/>
          <w:szCs w:val="36"/>
          <w:rtl/>
        </w:rPr>
        <w:t>/</w:t>
      </w:r>
      <w:proofErr w:type="spellEnd"/>
      <w:r w:rsidRPr="00B12FB6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 w:rsidRPr="00B12FB6">
        <w:rPr>
          <w:rFonts w:ascii="Sakkal Majalla" w:hAnsi="Sakkal Majalla" w:cs="Sakkal Majalla" w:hint="cs"/>
          <w:sz w:val="36"/>
          <w:szCs w:val="36"/>
          <w:rtl/>
        </w:rPr>
        <w:t>س</w:t>
      </w:r>
      <w:r>
        <w:rPr>
          <w:rFonts w:ascii="Sakkal Majalla" w:hAnsi="Sakkal Majalla" w:cs="Sakkal Majalla" w:hint="cs"/>
          <w:sz w:val="36"/>
          <w:szCs w:val="36"/>
          <w:rtl/>
        </w:rPr>
        <w:t>/،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فبفضل التقطيع الثاني يمكن للألسن أن تكتفي ببضع عشرات من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إنتاجات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صوتية متميزة نؤلف فيما بينها لنحصل على صور صوتية لوحدات التقطيع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الأول،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 xml:space="preserve"> وهذا المستوى الثاني بدوره يمثل مظهرا من مظاهر الاقتصاد.</w:t>
      </w:r>
    </w:p>
    <w:p w:rsidR="00C34D18" w:rsidRDefault="00C05823" w:rsidP="00062D8A">
      <w:pPr>
        <w:pStyle w:val="Paragraphedeliste"/>
        <w:ind w:left="1003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ف</w:t>
      </w:r>
      <w:r w:rsidRPr="00C058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التقطيع الأول تمثله </w:t>
      </w:r>
      <w:proofErr w:type="spellStart"/>
      <w:r w:rsidRPr="00C05823">
        <w:rPr>
          <w:rFonts w:ascii="Sakkal Majalla" w:hAnsi="Sakkal Majalla" w:cs="Sakkal Majalla" w:hint="cs"/>
          <w:b/>
          <w:bCs/>
          <w:sz w:val="36"/>
          <w:szCs w:val="36"/>
          <w:rtl/>
        </w:rPr>
        <w:t>المونيمات،</w:t>
      </w:r>
      <w:proofErr w:type="spellEnd"/>
      <w:r w:rsidRPr="00C058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الثاني تجسده </w:t>
      </w:r>
      <w:proofErr w:type="spellStart"/>
      <w:r w:rsidRPr="00C05823">
        <w:rPr>
          <w:rFonts w:ascii="Sakkal Majalla" w:hAnsi="Sakkal Majalla" w:cs="Sakkal Majalla" w:hint="cs"/>
          <w:b/>
          <w:bCs/>
          <w:sz w:val="36"/>
          <w:szCs w:val="36"/>
          <w:rtl/>
        </w:rPr>
        <w:t>الفونيمات</w:t>
      </w:r>
      <w:proofErr w:type="spellEnd"/>
      <w:r w:rsidRPr="00C05823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C05823" w:rsidRPr="002E794C" w:rsidRDefault="00C05823" w:rsidP="00062D8A">
      <w:p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</w:pPr>
      <w:proofErr w:type="spellStart"/>
      <w:r w:rsidRPr="002E794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ج-</w:t>
      </w:r>
      <w:proofErr w:type="spellEnd"/>
      <w:r w:rsidRPr="002E794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 xml:space="preserve"> المبادئ الوظيفية للدراسة اللسانية:</w:t>
      </w:r>
    </w:p>
    <w:p w:rsidR="00CD278D" w:rsidRPr="00062D8A" w:rsidRDefault="00C05823" w:rsidP="00062D8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يحصرها "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مارتينيه"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في ما يلي: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val="fr-FR"/>
        </w:rPr>
      </w:pPr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الصلات القائمة بين الوحدات اللسانية:</w:t>
      </w:r>
    </w:p>
    <w:p w:rsidR="00C05823" w:rsidRPr="00062D8A" w:rsidRDefault="00C05823" w:rsidP="00062D8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يدرس التركيب اللساني الوظيفي العلاقات بين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المونيمات،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وما ينتج عن ذلك من تأثير في طبيعة التراكيب وتتحدّد وظيفة كل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مونيم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داخل الجملة انطلاقا من هذه العلاقات.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val="fr-FR"/>
        </w:rPr>
      </w:pPr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رتبة الوحدات اللسانية:</w:t>
      </w:r>
    </w:p>
    <w:p w:rsidR="00C05823" w:rsidRPr="00062D8A" w:rsidRDefault="00C05823" w:rsidP="00062D8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r w:rsidR="00CD278D"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 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 إنّ دراسة علاقة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المونيمات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فيما بينها وحدها لا تكفي لتحديد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وظيفتها،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بل يجب معرفة موقعها وانتظامها داخل تركيب وفق ترتيب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معيّن،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فاختلاف الموقف يؤدي إلى اختلاف وظيفتها التركيبية. 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val="fr-FR"/>
        </w:rPr>
      </w:pPr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محتوى الوحدات اللسانية:</w:t>
      </w:r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 يركز "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مارتينيه"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على المحتوى الدلالي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للمونيم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الذي يكسبه دلالة خاصة ومستقلة عن غيره تجعله يؤدي وظيفة مميزة داخل التركيب.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val="fr-FR"/>
        </w:rPr>
      </w:pPr>
      <w:proofErr w:type="gramStart"/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مفهوم</w:t>
      </w:r>
      <w:proofErr w:type="gramEnd"/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 xml:space="preserve"> الملائمة</w:t>
      </w:r>
      <w:r w:rsidRPr="00062D8A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>:</w:t>
      </w:r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r w:rsidR="00CD278D"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  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تعتبر الملاحظة الموضوعية للمعطيات أساس كل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علم،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وهذه المعطيات متشابكة ومعقدة  لذا يجب التركيز على مظهر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الموضوع،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وعلى اللساني أيضا أن يتقصى السمات الخاصة والملائمة للموضوع الذي يسعى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لدراسته،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فاللّغة كباقي العلوم لها سمات ملائمة أو مناسبة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لتحليلها،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(فالأعداد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مثلا: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هي السمات المناسبة في علم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الحساب،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وال</w:t>
      </w:r>
      <w:r w:rsidR="00CD278D"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أ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شكال هي السمات التي يجب التركيز عليها في علم الهندسة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)،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وهذه الطريقة تحدّد مستويات الدراسة بدقة ووضوح.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val="fr-FR"/>
        </w:rPr>
      </w:pPr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الاقتصاد اللّغوي:</w:t>
      </w:r>
    </w:p>
    <w:p w:rsidR="00C05823" w:rsidRPr="00062D8A" w:rsidRDefault="00CD278D" w:rsidP="00062D8A">
      <w:p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      </w:t>
      </w:r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تطوّر اللّغة مرتبط بشكل كبير بأسباب خارجية </w:t>
      </w:r>
      <w:proofErr w:type="spellStart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>أهمها:</w:t>
      </w:r>
      <w:proofErr w:type="spellEnd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اتصال بنية لغة ببنية لغة </w:t>
      </w:r>
      <w:proofErr w:type="spellStart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>أخرى،</w:t>
      </w:r>
      <w:proofErr w:type="spellEnd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وحاجة التواصل داخل المجتمع </w:t>
      </w:r>
      <w:proofErr w:type="gramStart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هو </w:t>
      </w: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</w:t>
      </w:r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>أحد</w:t>
      </w:r>
      <w:proofErr w:type="gramEnd"/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ال</w:t>
      </w: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أ</w:t>
      </w:r>
      <w:r w:rsidR="00C05823" w:rsidRPr="00062D8A">
        <w:rPr>
          <w:rFonts w:ascii="Sakkal Majalla" w:hAnsi="Sakkal Majalla" w:cs="Sakkal Majalla"/>
          <w:sz w:val="36"/>
          <w:szCs w:val="36"/>
          <w:rtl/>
          <w:lang w:val="fr-FR"/>
        </w:rPr>
        <w:t>سباب الرئيسية الذي يساعد على تطور اللّغة.</w:t>
      </w:r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  </w:t>
      </w:r>
      <w:r w:rsidR="00CD278D"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   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ويشير "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مارتينيه"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هنا إلى أنّ هذه ال</w:t>
      </w:r>
      <w:r w:rsidR="00CD278D"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أ</w:t>
      </w: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سباب الخارجية يكمن تأثيرها في اندراجها في إطار بنية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اللّغة،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كما أنّه يركز على وجوب المحافظة على التفاهم والاتصال الذي يضمن للغة البقاء والتطوّر</w:t>
      </w:r>
      <w:r w:rsidRPr="00062D8A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>.</w:t>
      </w:r>
    </w:p>
    <w:p w:rsidR="00C05823" w:rsidRPr="00062D8A" w:rsidRDefault="00C05823" w:rsidP="00062D8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val="fr-FR"/>
        </w:rPr>
      </w:pPr>
      <w:proofErr w:type="gramStart"/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>الدراسة</w:t>
      </w:r>
      <w:proofErr w:type="gramEnd"/>
      <w:r w:rsidRPr="00062D8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/>
        </w:rPr>
        <w:t xml:space="preserve"> التركيبية </w:t>
      </w:r>
      <w:r w:rsidRPr="00062D8A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lang w:val="fr-FR" w:bidi="ar-DZ"/>
        </w:rPr>
        <w:t>Syntaxe</w:t>
      </w:r>
      <w:r w:rsidRPr="00062D8A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>:</w:t>
      </w:r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استطاع "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مارتينيه"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أن يطوّر التحليل التركيبي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للجملة،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انطلاقا من النتائج التي وصلت إليها الدراسة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الفونولوجية،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فوضع الخطوط الأولية لهذا التحليل الذي يقوم على أساس وظيفة العناصر اللسانية في التركيب وطرق ترتيبها</w:t>
      </w: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.</w:t>
      </w:r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lastRenderedPageBreak/>
        <w:t xml:space="preserve">   ومن الملاحظ أنّ التحليل التركيبي في اللسانيات قد تخلى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–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بصفة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عامة-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عن مصطلح (كلمة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)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لما قد يحدثه من اضطراب في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المفاهيم،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ولأنه يطلق على وحدات صغيرة ليتمّ معنى كلمة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مثل: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من،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على،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هل ... ويطلق أيضا على وحدات ليست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صغيرة،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وتتكوّن من عناصر لكل واحد منها وظيفته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مثل: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خرج،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اخرج،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فكلاهما تتضمّن الحروف الدالة على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الخروج،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واخرج تتضمّن زيادة على ذلك الصيغة الدالة على الأمر الموجه للمخاطب المفرد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المذكر،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لهذا كان من الضروري توخي مصطلحات أكثر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دقة،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تفي بمفهوم الوحدة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الصغيرة،</w:t>
      </w:r>
      <w:proofErr w:type="spellEnd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 xml:space="preserve"> وقد اصطلحت النظرية الوظيفية على هذا المفهوم </w:t>
      </w:r>
      <w:proofErr w:type="spellStart"/>
      <w:r w:rsidRPr="00062D8A">
        <w:rPr>
          <w:rFonts w:ascii="Sakkal Majalla" w:hAnsi="Sakkal Majalla" w:cs="Sakkal Majalla"/>
          <w:sz w:val="36"/>
          <w:szCs w:val="36"/>
          <w:rtl/>
          <w:lang w:val="fr-FR"/>
        </w:rPr>
        <w:t>بالمونيم</w:t>
      </w:r>
      <w:proofErr w:type="spellEnd"/>
      <w:r w:rsidRPr="00062D8A">
        <w:rPr>
          <w:rFonts w:ascii="Sakkal Majalla" w:hAnsi="Sakkal Majalla" w:cs="Sakkal Majalla"/>
          <w:sz w:val="36"/>
          <w:szCs w:val="36"/>
          <w:lang w:val="fr-FR" w:bidi="ar-DZ"/>
        </w:rPr>
        <w:t>monème</w:t>
      </w: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.</w:t>
      </w:r>
    </w:p>
    <w:p w:rsidR="00C05823" w:rsidRPr="00062D8A" w:rsidRDefault="00C05823" w:rsidP="00062D8A">
      <w:pPr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</w:pP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   </w:t>
      </w:r>
      <w:r w:rsidRPr="00062D8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fr-FR"/>
        </w:rPr>
        <w:t>مراجع المحاضرة</w:t>
      </w:r>
      <w:r w:rsidRPr="00062D8A">
        <w:rPr>
          <w:rFonts w:ascii="Sakkal Majalla" w:hAnsi="Sakkal Majalla" w:cs="Sakkal Majalla" w:hint="cs"/>
          <w:b/>
          <w:bCs/>
          <w:sz w:val="36"/>
          <w:szCs w:val="36"/>
          <w:rtl/>
          <w:lang w:val="fr-FR"/>
        </w:rPr>
        <w:t>:</w:t>
      </w:r>
    </w:p>
    <w:p w:rsidR="00C05823" w:rsidRPr="00062D8A" w:rsidRDefault="00030977" w:rsidP="00062D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lang w:val="fr-FR"/>
        </w:rPr>
      </w:pP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مبادئ في اللسانيات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العامة،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أندريه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مارتنيه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.</w:t>
      </w:r>
    </w:p>
    <w:p w:rsidR="00030977" w:rsidRPr="00062D8A" w:rsidRDefault="00030977" w:rsidP="00062D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lang w:val="fr-FR"/>
        </w:rPr>
      </w:pP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المدارس اللسانية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المعاصرة،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نعمان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بو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قرة.</w:t>
      </w:r>
    </w:p>
    <w:p w:rsidR="00030977" w:rsidRPr="00062D8A" w:rsidRDefault="00030977" w:rsidP="00062D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lang w:val="fr-FR"/>
        </w:rPr>
      </w:pPr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وظيفة الألسن و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ديناميتها،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 xml:space="preserve"> أندريه </w:t>
      </w:r>
      <w:proofErr w:type="spellStart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مرتينيه</w:t>
      </w:r>
      <w:proofErr w:type="spellEnd"/>
      <w:r w:rsidRPr="00062D8A">
        <w:rPr>
          <w:rFonts w:ascii="Sakkal Majalla" w:hAnsi="Sakkal Majalla" w:cs="Sakkal Majalla" w:hint="cs"/>
          <w:sz w:val="36"/>
          <w:szCs w:val="36"/>
          <w:rtl/>
          <w:lang w:val="fr-FR"/>
        </w:rPr>
        <w:t>.</w:t>
      </w:r>
    </w:p>
    <w:p w:rsidR="00030977" w:rsidRPr="00062D8A" w:rsidRDefault="00030977" w:rsidP="00062D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</w:p>
    <w:p w:rsidR="00C05823" w:rsidRPr="00062D8A" w:rsidRDefault="00C05823" w:rsidP="00062D8A">
      <w:pPr>
        <w:pStyle w:val="Paragraphedeliste"/>
        <w:ind w:left="1003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C05823" w:rsidRPr="00C05823" w:rsidRDefault="00C05823" w:rsidP="00062D8A">
      <w:pPr>
        <w:pStyle w:val="Paragraphedeliste"/>
        <w:ind w:left="1003"/>
        <w:jc w:val="both"/>
        <w:rPr>
          <w:rFonts w:ascii="Sakkal Majalla" w:hAnsi="Sakkal Majalla" w:cs="Sakkal Majalla"/>
          <w:b/>
          <w:bCs/>
          <w:sz w:val="36"/>
          <w:szCs w:val="36"/>
        </w:rPr>
      </w:pPr>
    </w:p>
    <w:sectPr w:rsidR="00C05823" w:rsidRPr="00C05823" w:rsidSect="00E71D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48" w:rsidRDefault="00D90448" w:rsidP="00C05823">
      <w:pPr>
        <w:spacing w:after="0" w:line="240" w:lineRule="auto"/>
      </w:pPr>
      <w:r>
        <w:separator/>
      </w:r>
    </w:p>
  </w:endnote>
  <w:endnote w:type="continuationSeparator" w:id="0">
    <w:p w:rsidR="00D90448" w:rsidRDefault="00D90448" w:rsidP="00C0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Sam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48" w:rsidRDefault="00D90448" w:rsidP="00C05823">
      <w:pPr>
        <w:spacing w:after="0" w:line="240" w:lineRule="auto"/>
      </w:pPr>
      <w:r>
        <w:separator/>
      </w:r>
    </w:p>
  </w:footnote>
  <w:footnote w:type="continuationSeparator" w:id="0">
    <w:p w:rsidR="00D90448" w:rsidRDefault="00D90448" w:rsidP="00C05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94B"/>
    <w:multiLevelType w:val="hybridMultilevel"/>
    <w:tmpl w:val="C1CE9896"/>
    <w:lvl w:ilvl="0" w:tplc="D97884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9036E"/>
    <w:multiLevelType w:val="hybridMultilevel"/>
    <w:tmpl w:val="5F220474"/>
    <w:lvl w:ilvl="0" w:tplc="114AA4F2">
      <w:start w:val="2"/>
      <w:numFmt w:val="bullet"/>
      <w:lvlText w:val="-"/>
      <w:lvlJc w:val="left"/>
      <w:pPr>
        <w:ind w:left="1003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5D4142FB"/>
    <w:multiLevelType w:val="hybridMultilevel"/>
    <w:tmpl w:val="5A3E7110"/>
    <w:lvl w:ilvl="0" w:tplc="146A9206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C2102"/>
    <w:multiLevelType w:val="hybridMultilevel"/>
    <w:tmpl w:val="863E601E"/>
    <w:lvl w:ilvl="0" w:tplc="FF44995A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DC7"/>
    <w:rsid w:val="00030977"/>
    <w:rsid w:val="00062D8A"/>
    <w:rsid w:val="00173608"/>
    <w:rsid w:val="00180DC7"/>
    <w:rsid w:val="00254340"/>
    <w:rsid w:val="003B5F66"/>
    <w:rsid w:val="00771CE4"/>
    <w:rsid w:val="00802E4C"/>
    <w:rsid w:val="00916AAB"/>
    <w:rsid w:val="00A025D4"/>
    <w:rsid w:val="00B12FB6"/>
    <w:rsid w:val="00C05823"/>
    <w:rsid w:val="00C34D18"/>
    <w:rsid w:val="00CD278D"/>
    <w:rsid w:val="00D90448"/>
    <w:rsid w:val="00DD1780"/>
    <w:rsid w:val="00E03B18"/>
    <w:rsid w:val="00E43597"/>
    <w:rsid w:val="00E71DA3"/>
    <w:rsid w:val="00F2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A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80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58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5823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58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2020-10-12T16:45:00Z</dcterms:created>
  <dcterms:modified xsi:type="dcterms:W3CDTF">2020-10-12T16:45:00Z</dcterms:modified>
</cp:coreProperties>
</file>